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AE" w:rsidRPr="006128AE" w:rsidRDefault="009340F2" w:rsidP="006128AE">
      <w:pPr>
        <w:spacing w:after="0" w:line="240" w:lineRule="auto"/>
        <w:rPr>
          <w:rFonts w:ascii="Verdana" w:eastAsia="Times New Roman" w:hAnsi="Verdana" w:cs="Arial"/>
          <w:b/>
          <w:sz w:val="24"/>
          <w:szCs w:val="18"/>
          <w:lang w:eastAsia="de-DE"/>
        </w:rPr>
      </w:pPr>
      <w:r w:rsidRPr="006128AE">
        <w:rPr>
          <w:rFonts w:ascii="Verdana" w:eastAsia="Times New Roman" w:hAnsi="Verdana" w:cs="Arial"/>
          <w:b/>
          <w:sz w:val="24"/>
          <w:szCs w:val="18"/>
          <w:lang w:eastAsia="de-DE"/>
        </w:rPr>
        <w:t xml:space="preserve">Formulář </w:t>
      </w:r>
      <w:r w:rsidR="006128AE" w:rsidRPr="006128AE">
        <w:rPr>
          <w:rFonts w:ascii="Verdana" w:eastAsia="Times New Roman" w:hAnsi="Verdana" w:cs="Arial"/>
          <w:b/>
          <w:sz w:val="24"/>
          <w:szCs w:val="18"/>
          <w:lang w:eastAsia="de-DE"/>
        </w:rPr>
        <w:t>oznámení podílu na hlasovacích právech</w:t>
      </w:r>
    </w:p>
    <w:p w:rsidR="006128AE" w:rsidRPr="006128AE" w:rsidRDefault="006128AE" w:rsidP="006128AE">
      <w:pPr>
        <w:spacing w:after="0" w:line="240" w:lineRule="auto"/>
        <w:ind w:left="-709"/>
        <w:rPr>
          <w:rFonts w:ascii="Verdana" w:eastAsia="Times New Roman" w:hAnsi="Verdana" w:cs="Arial"/>
          <w:b/>
          <w:sz w:val="24"/>
          <w:szCs w:val="18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1423"/>
        <w:gridCol w:w="504"/>
        <w:gridCol w:w="1927"/>
        <w:gridCol w:w="1927"/>
        <w:gridCol w:w="1928"/>
      </w:tblGrid>
      <w:tr w:rsidR="009340F2" w:rsidRPr="006128AE" w:rsidTr="00316362">
        <w:trPr>
          <w:trHeight w:val="454"/>
        </w:trPr>
        <w:tc>
          <w:tcPr>
            <w:tcW w:w="10318" w:type="dxa"/>
            <w:gridSpan w:val="6"/>
            <w:vAlign w:val="center"/>
          </w:tcPr>
          <w:p w:rsidR="009340F2" w:rsidRPr="006128AE" w:rsidRDefault="006128AE" w:rsidP="006128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color w:val="FFFFFF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OZNÁMENÍ PODÍLU NA HLASOVACÍCH PRÁVECH</w:t>
            </w:r>
            <w:r w:rsidR="009340F2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</w:t>
            </w:r>
            <w:r w:rsidR="009340F2" w:rsidRPr="006128AE">
              <w:rPr>
                <w:rFonts w:ascii="Verdana" w:eastAsia="Times New Roman" w:hAnsi="Verdana" w:cs="Arial-BoldMT"/>
                <w:bCs/>
                <w:sz w:val="18"/>
                <w:szCs w:val="18"/>
                <w:lang w:eastAsia="fr-LU"/>
              </w:rPr>
              <w:t>(odesílá se příslušnému emitentovi a České národní bance)</w:t>
            </w:r>
            <w:hyperlink w:anchor="Poznámky" w:history="1">
              <w:r w:rsidR="00FE38D5" w:rsidRPr="006128AE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</w:hyperlink>
          </w:p>
        </w:tc>
      </w:tr>
      <w:tr w:rsidR="009340F2" w:rsidRPr="006128AE" w:rsidTr="00316362">
        <w:trPr>
          <w:trHeight w:val="567"/>
        </w:trPr>
        <w:tc>
          <w:tcPr>
            <w:tcW w:w="10318" w:type="dxa"/>
            <w:gridSpan w:val="6"/>
            <w:tcBorders>
              <w:left w:val="nil"/>
              <w:right w:val="nil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732"/>
        </w:trPr>
        <w:tc>
          <w:tcPr>
            <w:tcW w:w="10318" w:type="dxa"/>
            <w:gridSpan w:val="6"/>
            <w:tcBorders>
              <w:bottom w:val="single" w:sz="4" w:space="0" w:color="auto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1. Označení emitenta</w:t>
            </w:r>
            <w:hyperlink w:anchor="Poznámky" w:history="1">
              <w:r w:rsidR="00176A47" w:rsidRPr="006128AE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2</w:t>
              </w:r>
            </w:hyperlink>
            <w:r w:rsidR="00EC5EFD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 (název, sídlo, IČO nebo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 xml:space="preserve"> LEI)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: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           </w:t>
            </w: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76A47" w:rsidRPr="006128AE" w:rsidTr="00316362">
        <w:trPr>
          <w:trHeight w:val="567"/>
        </w:trPr>
        <w:tc>
          <w:tcPr>
            <w:tcW w:w="10318" w:type="dxa"/>
            <w:gridSpan w:val="6"/>
            <w:tcBorders>
              <w:left w:val="nil"/>
              <w:right w:val="nil"/>
            </w:tcBorders>
            <w:vAlign w:val="center"/>
          </w:tcPr>
          <w:p w:rsidR="00176A47" w:rsidRPr="006128AE" w:rsidRDefault="00176A47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440"/>
        </w:trPr>
        <w:tc>
          <w:tcPr>
            <w:tcW w:w="10318" w:type="dxa"/>
            <w:gridSpan w:val="6"/>
            <w:tcBorders>
              <w:bottom w:val="single" w:sz="4" w:space="0" w:color="auto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2. </w:t>
            </w:r>
            <w:r w:rsidR="00F01A0E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Důvod oznámení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</w:t>
            </w:r>
            <w:r w:rsidR="00F01A0E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označte jednu nebo více možností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):</w:t>
            </w: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[</w:t>
            </w:r>
            <w:r w:rsidR="00F01A0E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] </w:t>
            </w:r>
            <w:r w:rsidR="00F01A0E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Nabytí nebo pozbytí hlasovacích práv</w:t>
            </w: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[</w:t>
            </w:r>
            <w:r w:rsidR="00F01A0E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] </w:t>
            </w:r>
            <w:r w:rsidR="00F01A0E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Nabytí nebo pozbytí investičních nástrojů</w:t>
            </w:r>
          </w:p>
          <w:p w:rsidR="009340F2" w:rsidRPr="000169C7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[ ] </w:t>
            </w:r>
            <w:r w:rsidR="00F01A0E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Změna základního kapitálu</w:t>
            </w:r>
            <w:r w:rsidR="00931A8F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nebo celkového počtu hlasovacích práv</w:t>
            </w:r>
            <w:r w:rsidR="000169C7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de-DE"/>
              </w:rPr>
              <w:t>3</w:t>
            </w: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[ ] </w:t>
            </w:r>
            <w:r w:rsidR="002D5C1D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Jiný důvod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(</w:t>
            </w:r>
            <w:r w:rsidR="002D5C1D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uveďte podrobnosti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)</w:t>
            </w:r>
            <w:hyperlink w:anchor="Poznámky" w:history="1">
              <w:r w:rsidR="006C58E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4</w:t>
              </w:r>
            </w:hyperlink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:</w:t>
            </w: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76A47" w:rsidRPr="006128AE" w:rsidTr="00316362">
        <w:trPr>
          <w:trHeight w:val="567"/>
        </w:trPr>
        <w:tc>
          <w:tcPr>
            <w:tcW w:w="1031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A47" w:rsidRPr="006128AE" w:rsidRDefault="00176A47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454"/>
        </w:trPr>
        <w:tc>
          <w:tcPr>
            <w:tcW w:w="10318" w:type="dxa"/>
            <w:gridSpan w:val="6"/>
            <w:tcBorders>
              <w:bottom w:val="single" w:sz="4" w:space="0" w:color="auto"/>
            </w:tcBorders>
            <w:vAlign w:val="center"/>
          </w:tcPr>
          <w:p w:rsidR="009340F2" w:rsidRPr="006128AE" w:rsidRDefault="009340F2" w:rsidP="006E7D6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3. </w:t>
            </w:r>
            <w:r w:rsidR="008D1D20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Označení osoby, které vznikla oznamovací povinnost</w:t>
            </w:r>
            <w:hyperlink w:anchor="Poznámky" w:history="1">
              <w:r w:rsidR="006E7D62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5</w:t>
              </w:r>
            </w:hyperlink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: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de-DE"/>
              </w:rPr>
              <w:t xml:space="preserve"> </w:t>
            </w:r>
          </w:p>
        </w:tc>
      </w:tr>
      <w:tr w:rsidR="009340F2" w:rsidRPr="006128AE" w:rsidTr="00316362">
        <w:trPr>
          <w:trHeight w:val="283"/>
        </w:trPr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0F2" w:rsidRPr="006128AE" w:rsidRDefault="008D1D20" w:rsidP="006128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Jméno/Název</w:t>
            </w:r>
            <w:r w:rsidR="009340F2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62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0F2" w:rsidRPr="006128AE" w:rsidRDefault="00430CB6" w:rsidP="006128A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Adresa (obec a stát)</w:t>
            </w:r>
            <w:r w:rsidR="009340F2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:</w:t>
            </w:r>
          </w:p>
        </w:tc>
      </w:tr>
      <w:tr w:rsidR="006128AE" w:rsidRPr="006128AE" w:rsidTr="00316362">
        <w:trPr>
          <w:trHeight w:val="390"/>
        </w:trPr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28AE" w:rsidRPr="006128AE" w:rsidRDefault="006128AE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62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8AE" w:rsidRPr="006128AE" w:rsidRDefault="006128AE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76A47" w:rsidRPr="006128AE" w:rsidTr="00316362">
        <w:trPr>
          <w:trHeight w:val="567"/>
        </w:trPr>
        <w:tc>
          <w:tcPr>
            <w:tcW w:w="10318" w:type="dxa"/>
            <w:gridSpan w:val="6"/>
            <w:tcBorders>
              <w:left w:val="nil"/>
              <w:right w:val="nil"/>
            </w:tcBorders>
            <w:vAlign w:val="center"/>
          </w:tcPr>
          <w:p w:rsidR="00176A47" w:rsidRPr="006128AE" w:rsidRDefault="00176A47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537"/>
        </w:trPr>
        <w:tc>
          <w:tcPr>
            <w:tcW w:w="10318" w:type="dxa"/>
            <w:gridSpan w:val="6"/>
            <w:tcBorders>
              <w:bottom w:val="single" w:sz="4" w:space="0" w:color="auto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4. </w:t>
            </w:r>
            <w:r w:rsidR="00D153B9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Označení akcionáře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(</w:t>
            </w:r>
            <w:r w:rsidR="00D153B9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není-li uveden v bodu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3.)</w:t>
            </w:r>
            <w:hyperlink w:anchor="Poznámky" w:history="1">
              <w:r w:rsidR="002607C8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6</w:t>
              </w:r>
            </w:hyperlink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:</w:t>
            </w: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76A47" w:rsidRPr="006128AE" w:rsidTr="00316362">
        <w:trPr>
          <w:trHeight w:val="567"/>
        </w:trPr>
        <w:tc>
          <w:tcPr>
            <w:tcW w:w="10318" w:type="dxa"/>
            <w:gridSpan w:val="6"/>
            <w:tcBorders>
              <w:left w:val="nil"/>
              <w:right w:val="nil"/>
            </w:tcBorders>
            <w:vAlign w:val="center"/>
          </w:tcPr>
          <w:p w:rsidR="00176A47" w:rsidRPr="006128AE" w:rsidRDefault="00176A47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419"/>
        </w:trPr>
        <w:tc>
          <w:tcPr>
            <w:tcW w:w="10318" w:type="dxa"/>
            <w:gridSpan w:val="6"/>
            <w:tcBorders>
              <w:bottom w:val="single" w:sz="4" w:space="0" w:color="auto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5. Dat</w:t>
            </w:r>
            <w:r w:rsidR="00226022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um dosažení, překročení nebo snížení podílu</w:t>
            </w:r>
            <w:hyperlink w:anchor="Poznámky" w:history="1">
              <w:r w:rsidR="002607C8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7</w:t>
              </w:r>
            </w:hyperlink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:</w:t>
            </w:r>
          </w:p>
          <w:p w:rsidR="006128AE" w:rsidRPr="006128AE" w:rsidRDefault="006128AE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  <w:p w:rsidR="006128AE" w:rsidRPr="006128AE" w:rsidRDefault="006128AE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176A47" w:rsidRPr="006128AE" w:rsidTr="00316362">
        <w:trPr>
          <w:trHeight w:val="567"/>
        </w:trPr>
        <w:tc>
          <w:tcPr>
            <w:tcW w:w="10318" w:type="dxa"/>
            <w:gridSpan w:val="6"/>
            <w:tcBorders>
              <w:left w:val="nil"/>
              <w:right w:val="nil"/>
            </w:tcBorders>
            <w:vAlign w:val="center"/>
          </w:tcPr>
          <w:p w:rsidR="00176A47" w:rsidRPr="006128AE" w:rsidRDefault="00176A47" w:rsidP="0026753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454"/>
        </w:trPr>
        <w:tc>
          <w:tcPr>
            <w:tcW w:w="10318" w:type="dxa"/>
            <w:gridSpan w:val="6"/>
          </w:tcPr>
          <w:p w:rsidR="009340F2" w:rsidRPr="006128AE" w:rsidRDefault="009340F2" w:rsidP="006128AE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6. </w:t>
            </w:r>
            <w:r w:rsidR="0026753D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Celkový podíl na hlasovacích právech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:</w:t>
            </w:r>
          </w:p>
        </w:tc>
      </w:tr>
      <w:tr w:rsidR="009340F2" w:rsidRPr="006128AE" w:rsidTr="00316362">
        <w:trPr>
          <w:trHeight w:val="555"/>
        </w:trPr>
        <w:tc>
          <w:tcPr>
            <w:tcW w:w="2609" w:type="dxa"/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27" w:type="dxa"/>
            <w:gridSpan w:val="2"/>
          </w:tcPr>
          <w:p w:rsidR="00316362" w:rsidRPr="00316362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316362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% </w:t>
            </w:r>
            <w:r w:rsidR="00DE5E6E" w:rsidRPr="00316362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hlasovacích práv spojených s akciemi</w:t>
            </w:r>
          </w:p>
          <w:p w:rsidR="009340F2" w:rsidRPr="006128AE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(7.A)</w:t>
            </w:r>
          </w:p>
        </w:tc>
        <w:tc>
          <w:tcPr>
            <w:tcW w:w="1927" w:type="dxa"/>
          </w:tcPr>
          <w:p w:rsidR="009340F2" w:rsidRPr="006128AE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316362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% </w:t>
            </w:r>
            <w:r w:rsidR="00DE5E6E" w:rsidRPr="00316362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hlasovacích práv z investičních nástrojů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br/>
              <w:t>(7.B.1 + 7.B.2)</w:t>
            </w:r>
          </w:p>
        </w:tc>
        <w:tc>
          <w:tcPr>
            <w:tcW w:w="1927" w:type="dxa"/>
          </w:tcPr>
          <w:p w:rsidR="009340F2" w:rsidRPr="006128AE" w:rsidRDefault="00F96659" w:rsidP="00F6173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316362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Celkem v</w:t>
            </w:r>
            <w:r w:rsidR="009340F2" w:rsidRPr="00316362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%</w:t>
            </w:r>
            <w:r w:rsidR="009340F2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 xml:space="preserve"> (7.A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 </w:t>
            </w:r>
            <w:r w:rsidR="009340F2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+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 </w:t>
            </w:r>
            <w:r w:rsidR="009340F2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7.B)</w:t>
            </w:r>
            <w:hyperlink w:anchor="Poznámky" w:history="1">
              <w:r w:rsidR="00F61739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8</w:t>
              </w:r>
            </w:hyperlink>
          </w:p>
        </w:tc>
        <w:tc>
          <w:tcPr>
            <w:tcW w:w="1928" w:type="dxa"/>
          </w:tcPr>
          <w:p w:rsidR="009340F2" w:rsidRPr="00316362" w:rsidRDefault="005A265E" w:rsidP="00DE49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316362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Celkový počet hlasovacích práv emitenta</w:t>
            </w:r>
            <w:hyperlink w:anchor="Poznámky" w:history="1">
              <w:r w:rsidR="00DE49D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9</w:t>
              </w:r>
            </w:hyperlink>
          </w:p>
        </w:tc>
      </w:tr>
      <w:tr w:rsidR="009340F2" w:rsidRPr="006128AE" w:rsidTr="00316362">
        <w:trPr>
          <w:trHeight w:val="555"/>
        </w:trPr>
        <w:tc>
          <w:tcPr>
            <w:tcW w:w="2609" w:type="dxa"/>
            <w:vAlign w:val="center"/>
          </w:tcPr>
          <w:p w:rsidR="009340F2" w:rsidRPr="006128AE" w:rsidRDefault="00E63187" w:rsidP="00E10175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Nově oznamovaný podíl</w:t>
            </w:r>
          </w:p>
        </w:tc>
        <w:tc>
          <w:tcPr>
            <w:tcW w:w="1927" w:type="dxa"/>
            <w:gridSpan w:val="2"/>
            <w:vAlign w:val="center"/>
          </w:tcPr>
          <w:p w:rsidR="009340F2" w:rsidRPr="006128AE" w:rsidRDefault="009340F2" w:rsidP="0031636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27" w:type="dxa"/>
            <w:vAlign w:val="center"/>
          </w:tcPr>
          <w:p w:rsidR="009340F2" w:rsidRPr="006128AE" w:rsidRDefault="009340F2" w:rsidP="0031636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27" w:type="dxa"/>
            <w:vAlign w:val="center"/>
          </w:tcPr>
          <w:p w:rsidR="009340F2" w:rsidRPr="006128AE" w:rsidRDefault="009340F2" w:rsidP="0031636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28" w:type="dxa"/>
            <w:vAlign w:val="center"/>
          </w:tcPr>
          <w:p w:rsidR="009340F2" w:rsidRPr="006128AE" w:rsidRDefault="009340F2" w:rsidP="0031636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555"/>
        </w:trPr>
        <w:tc>
          <w:tcPr>
            <w:tcW w:w="2609" w:type="dxa"/>
            <w:vAlign w:val="center"/>
          </w:tcPr>
          <w:p w:rsidR="009340F2" w:rsidRPr="006128AE" w:rsidRDefault="00E63187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Podíl dle předchozího oznámení (je-li relevantní)</w:t>
            </w:r>
          </w:p>
        </w:tc>
        <w:tc>
          <w:tcPr>
            <w:tcW w:w="1927" w:type="dxa"/>
            <w:gridSpan w:val="2"/>
            <w:vAlign w:val="center"/>
          </w:tcPr>
          <w:p w:rsidR="009340F2" w:rsidRPr="006128AE" w:rsidRDefault="009340F2" w:rsidP="0031636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27" w:type="dxa"/>
            <w:vAlign w:val="center"/>
          </w:tcPr>
          <w:p w:rsidR="009340F2" w:rsidRPr="006128AE" w:rsidRDefault="009340F2" w:rsidP="0031636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27" w:type="dxa"/>
            <w:vAlign w:val="center"/>
          </w:tcPr>
          <w:p w:rsidR="009340F2" w:rsidRPr="006128AE" w:rsidRDefault="009340F2" w:rsidP="0031636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28" w:type="dxa"/>
            <w:shd w:val="thinDiagStripe" w:color="auto" w:fill="auto"/>
            <w:vAlign w:val="center"/>
          </w:tcPr>
          <w:p w:rsidR="009340F2" w:rsidRPr="006128AE" w:rsidRDefault="009340F2" w:rsidP="0031636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</w:tbl>
    <w:p w:rsidR="009340F2" w:rsidRPr="006128AE" w:rsidRDefault="009340F2" w:rsidP="009340F2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de-DE"/>
        </w:rPr>
      </w:pPr>
    </w:p>
    <w:p w:rsidR="009340F2" w:rsidRPr="006128AE" w:rsidRDefault="009340F2" w:rsidP="009340F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6128AE">
        <w:rPr>
          <w:rFonts w:ascii="Verdana" w:eastAsia="Times New Roman" w:hAnsi="Verdana" w:cs="Times New Roman"/>
          <w:sz w:val="18"/>
          <w:szCs w:val="18"/>
          <w:lang w:eastAsia="de-DE"/>
        </w:rPr>
        <w:br w:type="page"/>
      </w:r>
    </w:p>
    <w:p w:rsidR="009340F2" w:rsidRPr="006128AE" w:rsidRDefault="009340F2" w:rsidP="009340F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243"/>
        <w:gridCol w:w="1417"/>
        <w:gridCol w:w="367"/>
        <w:gridCol w:w="1223"/>
        <w:gridCol w:w="771"/>
        <w:gridCol w:w="39"/>
        <w:gridCol w:w="965"/>
        <w:gridCol w:w="1375"/>
        <w:gridCol w:w="71"/>
        <w:gridCol w:w="84"/>
        <w:gridCol w:w="1873"/>
      </w:tblGrid>
      <w:tr w:rsidR="009340F2" w:rsidRPr="006128AE" w:rsidTr="00316362">
        <w:trPr>
          <w:trHeight w:val="454"/>
        </w:trPr>
        <w:tc>
          <w:tcPr>
            <w:tcW w:w="104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0F2" w:rsidRPr="006128AE" w:rsidRDefault="009340F2" w:rsidP="00DE49D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br w:type="page"/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7. </w:t>
            </w:r>
            <w:r w:rsidR="004F2981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Podrobnosti k nově oznamovanému podílu na hlasovacích právech</w:t>
            </w:r>
            <w:hyperlink w:anchor="Poznámky" w:history="1">
              <w:r w:rsidR="00DE49D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10</w:t>
              </w:r>
            </w:hyperlink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:</w:t>
            </w:r>
          </w:p>
        </w:tc>
      </w:tr>
      <w:tr w:rsidR="00176A47" w:rsidRPr="006128AE" w:rsidTr="007A7B9D">
        <w:trPr>
          <w:trHeight w:val="567"/>
        </w:trPr>
        <w:tc>
          <w:tcPr>
            <w:tcW w:w="104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A47" w:rsidRPr="006128AE" w:rsidRDefault="00176A47" w:rsidP="00BF387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283"/>
        </w:trPr>
        <w:tc>
          <w:tcPr>
            <w:tcW w:w="104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0F2" w:rsidRPr="006128AE" w:rsidRDefault="009340F2" w:rsidP="00BF491C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A: </w:t>
            </w:r>
            <w:r w:rsidR="00BF491C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Hlasovací práva spojená s</w:t>
            </w:r>
            <w:r w:rsidR="007A7B9D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 </w:t>
            </w:r>
            <w:r w:rsidR="00BF491C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akciemi</w:t>
            </w:r>
          </w:p>
        </w:tc>
      </w:tr>
      <w:tr w:rsidR="009340F2" w:rsidRPr="006128AE" w:rsidTr="00316362">
        <w:trPr>
          <w:trHeight w:val="283"/>
        </w:trPr>
        <w:tc>
          <w:tcPr>
            <w:tcW w:w="19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F2" w:rsidRPr="006128AE" w:rsidRDefault="00752C7D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Druh akcie</w:t>
            </w:r>
          </w:p>
          <w:p w:rsidR="009340F2" w:rsidRPr="006128AE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ISIN (</w:t>
            </w:r>
            <w:r w:rsidR="00752C7D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je-li k dispozici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340F2" w:rsidRPr="006128AE" w:rsidRDefault="00A5556D" w:rsidP="00DE49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Počet hlasovacích práv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DE49D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</w:hyperlink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340F2" w:rsidRPr="006128AE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% </w:t>
            </w:r>
            <w:r w:rsidR="009F7572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hlasovacích práv</w:t>
            </w:r>
          </w:p>
        </w:tc>
      </w:tr>
      <w:tr w:rsidR="009340F2" w:rsidRPr="006128AE" w:rsidTr="00316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767DCA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Přímých</w:t>
            </w:r>
          </w:p>
          <w:p w:rsidR="009340F2" w:rsidRPr="006128AE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</w:t>
            </w:r>
            <w:r w:rsidR="00767DCA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§ 122 odst. 1 ZPKT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767DCA" w:rsidP="00316362">
            <w:pPr>
              <w:spacing w:after="0" w:line="240" w:lineRule="auto"/>
              <w:jc w:val="center"/>
              <w:rPr>
                <w:rFonts w:ascii="Verdana" w:eastAsia="Times New Roman" w:hAnsi="Verdana" w:cs="TimesNewRomanPSMT"/>
                <w:sz w:val="18"/>
                <w:szCs w:val="18"/>
                <w:lang w:eastAsia="fr-FR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Započítávaných</w:t>
            </w:r>
          </w:p>
          <w:p w:rsidR="009340F2" w:rsidRPr="006128AE" w:rsidRDefault="00767DCA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[§ 122 odst. 2 písm. a) až g) ZPKT]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F757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Přímých</w:t>
            </w:r>
          </w:p>
          <w:p w:rsidR="009340F2" w:rsidRPr="006128AE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</w:t>
            </w:r>
            <w:r w:rsidR="009F7572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§ 122 odst. 1 ZPKT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F757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Započítávaných</w:t>
            </w:r>
          </w:p>
          <w:p w:rsidR="009340F2" w:rsidRPr="006128AE" w:rsidRDefault="009F757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[§ 122 odst. 2 písm. a) až g) ZPKT]</w:t>
            </w:r>
          </w:p>
        </w:tc>
      </w:tr>
      <w:tr w:rsidR="009340F2" w:rsidRPr="006128AE" w:rsidTr="00316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F2" w:rsidRPr="006128AE" w:rsidRDefault="005E72BA" w:rsidP="00F9330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Mezisoučet</w:t>
            </w:r>
            <w:r w:rsidR="009340F2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A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10420" w:type="dxa"/>
            <w:gridSpan w:val="12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454"/>
        </w:trPr>
        <w:tc>
          <w:tcPr>
            <w:tcW w:w="104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0F2" w:rsidRPr="006128AE" w:rsidRDefault="009340F2" w:rsidP="00357DBF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B</w:t>
            </w:r>
            <w:r w:rsidR="00714258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.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1: </w:t>
            </w:r>
            <w:r w:rsidR="00357DBF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Investiční nástroje </w:t>
            </w:r>
            <w:r w:rsidR="000F0AF8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umožňující nabýt akcie </w:t>
            </w:r>
            <w:r w:rsidR="00357DBF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podle § 122 odst. 2 písm. h) ZPKT</w:t>
            </w:r>
          </w:p>
        </w:tc>
      </w:tr>
      <w:tr w:rsidR="009340F2" w:rsidRPr="006128AE" w:rsidTr="007A7B9D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623C99" w:rsidP="007A7B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Druh investičního nástroje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8C6181" w:rsidP="00C942D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Datum platnosti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C942D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2</w:t>
              </w:r>
            </w:hyperlink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D" w:rsidRPr="007A7B9D" w:rsidRDefault="00370651" w:rsidP="003B2E4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fr-FR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Lhůta pro uplatnění práva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3B2E44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3</w:t>
              </w:r>
            </w:hyperlink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757190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Počet hlasovacích práv, která lze získat uplatněním práva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% </w:t>
            </w:r>
            <w:r w:rsidR="00757190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hlasovacích práv</w:t>
            </w:r>
          </w:p>
        </w:tc>
      </w:tr>
      <w:tr w:rsidR="009340F2" w:rsidRPr="006128AE" w:rsidTr="007A7B9D">
        <w:trPr>
          <w:trHeight w:val="48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48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48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481"/>
        </w:trPr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F2" w:rsidRPr="006128AE" w:rsidRDefault="00F93307" w:rsidP="007A7B9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Mezisoučet</w:t>
            </w:r>
            <w:r w:rsidR="009340F2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B.1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10420" w:type="dxa"/>
            <w:gridSpan w:val="12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454"/>
        </w:trPr>
        <w:tc>
          <w:tcPr>
            <w:tcW w:w="104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0F2" w:rsidRPr="006128AE" w:rsidRDefault="009340F2" w:rsidP="00823B9C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B</w:t>
            </w:r>
            <w:r w:rsidR="00714258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.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2: </w:t>
            </w:r>
            <w:r w:rsidR="00823B9C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Investiční nástroje s obdobným ekonomickým účinkem podle § 122 odst. 2 písm. i) ZPKT</w:t>
            </w:r>
          </w:p>
        </w:tc>
      </w:tr>
      <w:tr w:rsidR="009340F2" w:rsidRPr="006128AE" w:rsidTr="007A7B9D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823B9C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Druh investičního nástroje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823B9C" w:rsidP="00D243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Datum platnosti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D24321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2</w:t>
              </w:r>
            </w:hyperlink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823B9C" w:rsidP="00D243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Lhůta pro uplatnění práva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D24321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3</w:t>
              </w:r>
            </w:hyperlink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A37E54" w:rsidP="00D2432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Fyzické nebo peněžní vypořádání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D24321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4</w:t>
              </w:r>
            </w:hyperlink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193E27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Počet hlasovacích práv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31636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% </w:t>
            </w:r>
            <w:r w:rsidR="00193E27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hlasovacích práv</w:t>
            </w:r>
          </w:p>
        </w:tc>
      </w:tr>
      <w:tr w:rsidR="009340F2" w:rsidRPr="006128AE" w:rsidTr="007A7B9D">
        <w:trPr>
          <w:trHeight w:val="48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48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481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7A7B9D" w:rsidRPr="006128AE" w:rsidTr="007A7B9D">
        <w:trPr>
          <w:trHeight w:val="481"/>
        </w:trPr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B9D" w:rsidRPr="006128AE" w:rsidRDefault="007A7B9D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7B9D" w:rsidRPr="006128AE" w:rsidRDefault="007A7B9D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9D" w:rsidRPr="006128AE" w:rsidRDefault="007A7B9D" w:rsidP="007A7B9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Mezisoučet B.2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B9D" w:rsidRPr="006128AE" w:rsidRDefault="007A7B9D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D" w:rsidRPr="006128AE" w:rsidRDefault="007A7B9D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</w:tbl>
    <w:p w:rsidR="007A7B9D" w:rsidRDefault="007A7B9D"/>
    <w:p w:rsidR="007A7B9D" w:rsidRDefault="007A7B9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9340F2" w:rsidRPr="006128AE" w:rsidTr="00316362">
        <w:trPr>
          <w:trHeight w:val="1047"/>
        </w:trPr>
        <w:tc>
          <w:tcPr>
            <w:tcW w:w="10420" w:type="dxa"/>
            <w:gridSpan w:val="4"/>
            <w:tcBorders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lastRenderedPageBreak/>
              <w:t xml:space="preserve">8. </w:t>
            </w:r>
            <w:r w:rsidR="00502555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Informace ohledně osoby, které vznikla oznamovací povinnost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(</w:t>
            </w:r>
            <w:r w:rsidR="00502555"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označte odpovídající možnost</w:t>
            </w: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)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:</w:t>
            </w: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[</w:t>
            </w:r>
            <w:r w:rsidR="00316362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] </w:t>
            </w:r>
            <w:r w:rsidR="00D77583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Tato osoba není ovládána žádnou fyzickou či právnickou osobou a zároveň sama neovládá jinou osobu s přímým či </w:t>
            </w:r>
            <w:r w:rsidR="00614A18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započítávaným</w:t>
            </w:r>
            <w:r w:rsidR="00D77583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podílem na hlasovacích právech emitenta.</w:t>
            </w:r>
            <w:r w:rsidR="007A7B9D" w:rsidRPr="006128AE"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fr-FR"/>
              </w:rPr>
              <w:t xml:space="preserve"> 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DB4EC2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5</w:t>
              </w:r>
            </w:hyperlink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[</w:t>
            </w:r>
            <w:r w:rsidR="00316362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] </w:t>
            </w:r>
            <w:r w:rsidR="009305C8" w:rsidRPr="006128AE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de-DE"/>
              </w:rPr>
              <w:t>Ú</w:t>
            </w:r>
            <w:r w:rsidR="00562CC7" w:rsidRPr="006128AE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de-DE"/>
              </w:rPr>
              <w:t>plný</w:t>
            </w:r>
            <w:r w:rsidR="009305C8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</w:t>
            </w:r>
            <w:r w:rsidR="00562CC7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řetězec </w:t>
            </w:r>
            <w:r w:rsidR="00DB3DDF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ovládajících a </w:t>
            </w:r>
            <w:r w:rsidR="00562CC7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ovládaných osob</w:t>
            </w:r>
            <w:r w:rsidR="009305C8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, jejichž pros</w:t>
            </w:r>
            <w:r w:rsidR="00830522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t</w:t>
            </w:r>
            <w:r w:rsidR="009305C8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řednictvím </w:t>
            </w:r>
            <w:r w:rsidR="00562CC7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jsou hlasovací práva </w:t>
            </w:r>
            <w:r w:rsidR="00E55E8A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a/nebo investiční nástroje </w:t>
            </w:r>
            <w:r w:rsidR="00562CC7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skutečně držen</w:t>
            </w:r>
            <w:r w:rsidR="00E55E8A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y</w:t>
            </w:r>
            <w:r w:rsidR="00562CC7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 počínaje </w:t>
            </w:r>
            <w:r w:rsidR="00E55E8A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nejvýše postavenou ovládající osobou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DB4EC2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6</w:t>
              </w:r>
            </w:hyperlink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:</w:t>
            </w: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1149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9340F2" w:rsidRPr="006128AE" w:rsidRDefault="0097755E" w:rsidP="00DB4EC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Jméno/Název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DB4EC2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7</w:t>
              </w:r>
            </w:hyperlink>
          </w:p>
        </w:tc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7B78AD" w:rsidRPr="006128AE" w:rsidRDefault="009340F2" w:rsidP="007B78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% </w:t>
            </w:r>
            <w:r w:rsidR="007B78AD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přímých a započítávaných hlasovacích práv </w:t>
            </w:r>
          </w:p>
          <w:p w:rsidR="009340F2" w:rsidRPr="006128AE" w:rsidRDefault="007B78AD" w:rsidP="007B78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[§ 122 odst. 1 a § 122 odst. 2 písm. a) až g) ZPKT]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9340F2" w:rsidRPr="006128AE" w:rsidRDefault="009340F2" w:rsidP="00125A9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% </w:t>
            </w:r>
            <w:r w:rsidR="00125A9B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hlasovacích práv z investičních nástrojů</w:t>
            </w:r>
          </w:p>
          <w:p w:rsidR="00125A9B" w:rsidRPr="006128AE" w:rsidRDefault="00125A9B" w:rsidP="00125A9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[§ 122 odst. 2 </w:t>
            </w:r>
          </w:p>
          <w:p w:rsidR="00125A9B" w:rsidRPr="006128AE" w:rsidRDefault="00125A9B" w:rsidP="00125A9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  <w:t>písm. h) a i) ZPKT]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9340F2" w:rsidRPr="006128AE" w:rsidRDefault="00164C1F" w:rsidP="00075EC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vertAlign w:val="superscript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Celkem v %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075ECB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8</w:t>
              </w:r>
            </w:hyperlink>
          </w:p>
        </w:tc>
      </w:tr>
      <w:tr w:rsidR="009340F2" w:rsidRPr="006128AE" w:rsidTr="007A7B9D">
        <w:trPr>
          <w:trHeight w:val="440"/>
        </w:trPr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440"/>
        </w:trPr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440"/>
        </w:trPr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440"/>
        </w:trPr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440"/>
        </w:trPr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2605" w:type="dxa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567"/>
        </w:trPr>
        <w:tc>
          <w:tcPr>
            <w:tcW w:w="10420" w:type="dxa"/>
            <w:gridSpan w:val="4"/>
            <w:tcBorders>
              <w:left w:val="nil"/>
              <w:right w:val="nil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9340F2" w:rsidRPr="006128AE" w:rsidTr="00316362">
        <w:trPr>
          <w:trHeight w:val="694"/>
        </w:trPr>
        <w:tc>
          <w:tcPr>
            <w:tcW w:w="10420" w:type="dxa"/>
            <w:gridSpan w:val="4"/>
            <w:vAlign w:val="center"/>
          </w:tcPr>
          <w:p w:rsidR="009340F2" w:rsidRPr="007A7B9D" w:rsidRDefault="009340F2" w:rsidP="007A7B9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9. </w:t>
            </w:r>
            <w:r w:rsidR="00994743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V případě </w:t>
            </w:r>
            <w:r w:rsidR="00994743" w:rsidRPr="006128AE"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  <w:t>zmocnění pro účely jedné valné hromady</w:t>
            </w:r>
            <w:r w:rsidRPr="006128AE"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  <w:t>: [</w:t>
            </w:r>
            <w:r w:rsidR="00994743" w:rsidRPr="006128AE">
              <w:rPr>
                <w:rFonts w:ascii="Verdana" w:eastAsia="Times New Roman" w:hAnsi="Verdana" w:cs="TimesNewRomanPSMT"/>
                <w:i/>
                <w:sz w:val="18"/>
                <w:szCs w:val="18"/>
                <w:lang w:eastAsia="de-DE"/>
              </w:rPr>
              <w:t>jméno/název zmocněnce</w:t>
            </w:r>
            <w:r w:rsidRPr="006128AE"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  <w:t xml:space="preserve">] </w:t>
            </w:r>
            <w:r w:rsidR="00994743" w:rsidRPr="006128AE"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  <w:t>nemůže vykonávat</w:t>
            </w:r>
            <w:r w:rsidRPr="006128AE"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  <w:t xml:space="preserve"> [</w:t>
            </w:r>
            <w:r w:rsidRPr="006128AE">
              <w:rPr>
                <w:rFonts w:ascii="Verdana" w:eastAsia="Times New Roman" w:hAnsi="Verdana" w:cs="TimesNewRomanPSMT"/>
                <w:i/>
                <w:sz w:val="18"/>
                <w:szCs w:val="18"/>
                <w:lang w:eastAsia="de-DE"/>
              </w:rPr>
              <w:t xml:space="preserve">% a </w:t>
            </w:r>
            <w:r w:rsidR="00541E7E" w:rsidRPr="006128AE">
              <w:rPr>
                <w:rFonts w:ascii="Verdana" w:eastAsia="Times New Roman" w:hAnsi="Verdana" w:cs="TimesNewRomanPS-ItalicMT"/>
                <w:i/>
                <w:iCs/>
                <w:sz w:val="18"/>
                <w:szCs w:val="18"/>
                <w:lang w:eastAsia="de-DE"/>
              </w:rPr>
              <w:t>počet</w:t>
            </w:r>
            <w:r w:rsidRPr="006128AE"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  <w:t xml:space="preserve">] </w:t>
            </w:r>
            <w:r w:rsidR="00994743" w:rsidRPr="006128AE"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  <w:t>hlasovacích práv od</w:t>
            </w:r>
            <w:r w:rsidRPr="006128AE"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  <w:t xml:space="preserve"> [</w:t>
            </w:r>
            <w:r w:rsidR="00994743" w:rsidRPr="006128AE">
              <w:rPr>
                <w:rFonts w:ascii="Verdana" w:eastAsia="Times New Roman" w:hAnsi="Verdana" w:cs="TimesNewRomanPS-ItalicMT"/>
                <w:i/>
                <w:iCs/>
                <w:sz w:val="18"/>
                <w:szCs w:val="18"/>
                <w:lang w:eastAsia="de-DE"/>
              </w:rPr>
              <w:t>datum</w:t>
            </w:r>
            <w:r w:rsidRPr="006128AE">
              <w:rPr>
                <w:rFonts w:ascii="Verdana" w:eastAsia="Times New Roman" w:hAnsi="Verdana" w:cs="TimesNewRomanPSMT"/>
                <w:b/>
                <w:sz w:val="18"/>
                <w:szCs w:val="18"/>
                <w:lang w:eastAsia="de-DE"/>
              </w:rPr>
              <w:t>]</w:t>
            </w:r>
          </w:p>
        </w:tc>
      </w:tr>
      <w:tr w:rsidR="009340F2" w:rsidRPr="006128AE" w:rsidTr="00316362">
        <w:trPr>
          <w:trHeight w:val="567"/>
        </w:trPr>
        <w:tc>
          <w:tcPr>
            <w:tcW w:w="104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9340F2" w:rsidRPr="006128AE" w:rsidTr="007A7B9D">
        <w:trPr>
          <w:trHeight w:val="1701"/>
        </w:trPr>
        <w:tc>
          <w:tcPr>
            <w:tcW w:w="10420" w:type="dxa"/>
            <w:gridSpan w:val="4"/>
            <w:tcBorders>
              <w:bottom w:val="single" w:sz="4" w:space="0" w:color="auto"/>
            </w:tcBorders>
          </w:tcPr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 xml:space="preserve">10. </w:t>
            </w:r>
            <w:r w:rsidR="00994743"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Doplňující informace</w:t>
            </w:r>
            <w:hyperlink w:anchor="Poznámky" w:history="1">
              <w:r w:rsidR="007A7B9D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1</w:t>
              </w:r>
              <w:r w:rsidR="005B2DF9">
                <w:rPr>
                  <w:rStyle w:val="Hypertextovodkaz"/>
                  <w:rFonts w:ascii="Verdana" w:eastAsia="Times New Roman" w:hAnsi="Verdana" w:cs="Arial"/>
                  <w:color w:val="auto"/>
                  <w:sz w:val="18"/>
                  <w:szCs w:val="18"/>
                  <w:u w:val="none"/>
                  <w:vertAlign w:val="superscript"/>
                  <w:lang w:eastAsia="fr-FR"/>
                </w:rPr>
                <w:t>9</w:t>
              </w:r>
            </w:hyperlink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:</w:t>
            </w:r>
          </w:p>
          <w:p w:rsidR="009340F2" w:rsidRPr="006128AE" w:rsidRDefault="009340F2" w:rsidP="009340F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de-DE"/>
              </w:rPr>
            </w:pPr>
          </w:p>
        </w:tc>
      </w:tr>
      <w:tr w:rsidR="007A7B9D" w:rsidRPr="006128AE" w:rsidTr="007A7B9D">
        <w:trPr>
          <w:trHeight w:val="567"/>
        </w:trPr>
        <w:tc>
          <w:tcPr>
            <w:tcW w:w="10420" w:type="dxa"/>
            <w:gridSpan w:val="4"/>
            <w:tcBorders>
              <w:left w:val="nil"/>
              <w:right w:val="nil"/>
            </w:tcBorders>
          </w:tcPr>
          <w:p w:rsidR="007A7B9D" w:rsidRPr="006128AE" w:rsidRDefault="007A7B9D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  <w:tr w:rsidR="007A7B9D" w:rsidRPr="006128AE" w:rsidTr="007A7B9D">
        <w:trPr>
          <w:trHeight w:val="567"/>
        </w:trPr>
        <w:tc>
          <w:tcPr>
            <w:tcW w:w="10420" w:type="dxa"/>
            <w:gridSpan w:val="4"/>
          </w:tcPr>
          <w:p w:rsidR="007A7B9D" w:rsidRPr="006128AE" w:rsidRDefault="007A7B9D" w:rsidP="007A7B9D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1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1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. D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atum vyplnění oznámení</w:t>
            </w:r>
            <w:r w:rsidRPr="006128AE"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  <w:t>:</w:t>
            </w:r>
          </w:p>
          <w:p w:rsidR="007A7B9D" w:rsidRPr="006128AE" w:rsidRDefault="007A7B9D" w:rsidP="009340F2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de-DE"/>
              </w:rPr>
            </w:pPr>
          </w:p>
        </w:tc>
      </w:tr>
    </w:tbl>
    <w:p w:rsidR="007A7B9D" w:rsidRDefault="007A7B9D" w:rsidP="009340F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7A7B9D" w:rsidRDefault="007A7B9D">
      <w:pPr>
        <w:rPr>
          <w:rFonts w:ascii="Verdana" w:eastAsia="Times New Roman" w:hAnsi="Verdana" w:cs="Times New Roman"/>
          <w:sz w:val="18"/>
          <w:szCs w:val="18"/>
          <w:lang w:eastAsia="de-DE"/>
        </w:rPr>
        <w:sectPr w:rsidR="007A7B9D" w:rsidSect="00D1459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851" w:bottom="1701" w:left="851" w:header="680" w:footer="680" w:gutter="0"/>
          <w:cols w:space="708"/>
          <w:docGrid w:linePitch="360"/>
        </w:sectPr>
      </w:pPr>
    </w:p>
    <w:p w:rsidR="00E93345" w:rsidRDefault="00E93345">
      <w:pPr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lastRenderedPageBreak/>
        <w:br w:type="page"/>
      </w:r>
    </w:p>
    <w:p w:rsidR="00A1313B" w:rsidRPr="00FD3A09" w:rsidRDefault="00A1313B" w:rsidP="00A1313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24"/>
          <w:szCs w:val="18"/>
          <w:lang w:eastAsia="fr-FR"/>
        </w:rPr>
      </w:pPr>
      <w:bookmarkStart w:id="0" w:name="Poznámky"/>
      <w:bookmarkEnd w:id="0"/>
      <w:r w:rsidRPr="00FD3A09">
        <w:rPr>
          <w:rFonts w:ascii="Verdana" w:eastAsia="Times New Roman" w:hAnsi="Verdana" w:cs="Arial"/>
          <w:b/>
          <w:bCs/>
          <w:sz w:val="24"/>
          <w:szCs w:val="18"/>
          <w:lang w:eastAsia="fr-FR"/>
        </w:rPr>
        <w:lastRenderedPageBreak/>
        <w:t>Poznámky a pokyny</w:t>
      </w:r>
    </w:p>
    <w:p w:rsidR="00A1313B" w:rsidRPr="00FD3A09" w:rsidRDefault="00A1313B" w:rsidP="00A1313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fr-FR"/>
        </w:rPr>
      </w:pPr>
    </w:p>
    <w:p w:rsidR="00A1313B" w:rsidRPr="00FD3A09" w:rsidRDefault="00A1313B" w:rsidP="00A1313B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fr-FR"/>
        </w:rPr>
      </w:pPr>
      <w:r w:rsidRPr="00FD3A09">
        <w:rPr>
          <w:rFonts w:ascii="Verdana" w:eastAsia="Times New Roman" w:hAnsi="Verdana" w:cs="Arial"/>
          <w:i/>
          <w:sz w:val="18"/>
          <w:szCs w:val="18"/>
          <w:lang w:eastAsia="fr-FR"/>
        </w:rPr>
        <w:t>Tento formulář vychází ze vzorového formuláře uveřejněného ESMA</w:t>
      </w:r>
      <w:r w:rsidRPr="00FD3A09">
        <w:rPr>
          <w:rStyle w:val="Znakapoznpodarou"/>
          <w:rFonts w:ascii="Verdana" w:eastAsia="Times New Roman" w:hAnsi="Verdana" w:cs="Arial"/>
          <w:i/>
          <w:sz w:val="18"/>
          <w:szCs w:val="18"/>
          <w:lang w:eastAsia="fr-FR"/>
        </w:rPr>
        <w:footnoteReference w:id="1"/>
      </w:r>
      <w:r w:rsidRPr="00FD3A09">
        <w:rPr>
          <w:rFonts w:ascii="Verdana" w:eastAsia="Times New Roman" w:hAnsi="Verdana" w:cs="Arial"/>
          <w:i/>
          <w:sz w:val="18"/>
          <w:szCs w:val="18"/>
          <w:lang w:eastAsia="fr-FR"/>
        </w:rPr>
        <w:t>.</w:t>
      </w:r>
    </w:p>
    <w:p w:rsidR="009340F2" w:rsidRPr="006128AE" w:rsidRDefault="00A01F0E" w:rsidP="00A1313B">
      <w:pPr>
        <w:autoSpaceDE w:val="0"/>
        <w:autoSpaceDN w:val="0"/>
        <w:adjustRightInd w:val="0"/>
        <w:spacing w:after="60" w:line="240" w:lineRule="auto"/>
        <w:ind w:left="283" w:hanging="170"/>
        <w:jc w:val="both"/>
        <w:rPr>
          <w:rFonts w:ascii="Verdana" w:eastAsia="Times New Roman" w:hAnsi="Verdana" w:cs="TimesNewRomanPSMT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9340F2" w:rsidRPr="006128AE">
        <w:rPr>
          <w:rFonts w:ascii="Verdana" w:eastAsia="Times New Roman" w:hAnsi="Verdana" w:cs="Arial"/>
          <w:i/>
          <w:sz w:val="18"/>
          <w:szCs w:val="18"/>
          <w:lang w:eastAsia="fr-FR"/>
        </w:rPr>
        <w:t xml:space="preserve"> </w:t>
      </w:r>
      <w:r w:rsidR="009340F2" w:rsidRPr="006128AE">
        <w:rPr>
          <w:rFonts w:ascii="Verdana" w:eastAsia="Times New Roman" w:hAnsi="Verdana" w:cs="TimesNewRomanPSMT"/>
          <w:sz w:val="18"/>
          <w:szCs w:val="18"/>
          <w:lang w:eastAsia="fr-FR"/>
        </w:rPr>
        <w:t>Česká národní banka (</w:t>
      </w:r>
      <w:r w:rsidR="009340F2" w:rsidRPr="006128AE">
        <w:rPr>
          <w:rFonts w:ascii="Verdana" w:eastAsia="Times New Roman" w:hAnsi="Verdana" w:cs="TimesNewRomanPSMT"/>
          <w:b/>
          <w:sz w:val="18"/>
          <w:szCs w:val="18"/>
          <w:lang w:eastAsia="fr-FR"/>
        </w:rPr>
        <w:t>ČNB</w:t>
      </w:r>
      <w:r w:rsidR="009340F2" w:rsidRPr="006128AE">
        <w:rPr>
          <w:rFonts w:ascii="Verdana" w:eastAsia="Times New Roman" w:hAnsi="Verdana" w:cs="TimesNewRomanPSMT"/>
          <w:sz w:val="18"/>
          <w:szCs w:val="18"/>
          <w:lang w:eastAsia="fr-FR"/>
        </w:rPr>
        <w:t>) v souladu s § 122 odst. 7 zákona č. 256/2004 Sb., o podnikání na kapitálovém trhu, ve znění pozdějších předpisů (</w:t>
      </w:r>
      <w:r w:rsidR="009340F2" w:rsidRPr="006128AE">
        <w:rPr>
          <w:rFonts w:ascii="Verdana" w:eastAsia="Times New Roman" w:hAnsi="Verdana" w:cs="TimesNewRomanPSMT"/>
          <w:b/>
          <w:sz w:val="18"/>
          <w:szCs w:val="18"/>
          <w:lang w:eastAsia="fr-FR"/>
        </w:rPr>
        <w:t>ZPKT</w:t>
      </w:r>
      <w:r w:rsidR="009340F2" w:rsidRPr="006128AE">
        <w:rPr>
          <w:rFonts w:ascii="Verdana" w:eastAsia="Times New Roman" w:hAnsi="Verdana" w:cs="TimesNewRomanPSMT"/>
          <w:sz w:val="18"/>
          <w:szCs w:val="18"/>
          <w:lang w:eastAsia="fr-FR"/>
        </w:rPr>
        <w:t>) uveřejňuje</w:t>
      </w:r>
      <w:r w:rsidR="007929C4">
        <w:rPr>
          <w:rStyle w:val="Znakapoznpodarou"/>
          <w:rFonts w:ascii="Verdana" w:eastAsia="Times New Roman" w:hAnsi="Verdana" w:cs="TimesNewRomanPSMT"/>
          <w:sz w:val="18"/>
          <w:szCs w:val="18"/>
          <w:lang w:eastAsia="fr-FR"/>
        </w:rPr>
        <w:footnoteReference w:id="2"/>
      </w:r>
      <w:r w:rsidR="009340F2" w:rsidRPr="006128AE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 skutečnosti oznámen</w:t>
      </w:r>
      <w:r w:rsidR="00CC451C">
        <w:rPr>
          <w:rFonts w:ascii="Verdana" w:eastAsia="Times New Roman" w:hAnsi="Verdana" w:cs="TimesNewRomanPSMT"/>
          <w:sz w:val="18"/>
          <w:szCs w:val="18"/>
          <w:lang w:eastAsia="fr-FR"/>
        </w:rPr>
        <w:t>é</w:t>
      </w:r>
      <w:r w:rsidR="009340F2" w:rsidRPr="006128AE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 prostřednictvím tohoto formuláře. </w:t>
      </w:r>
    </w:p>
    <w:p w:rsidR="009340F2" w:rsidRPr="006128AE" w:rsidRDefault="009340F2" w:rsidP="00A1313B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eastAsia="Times New Roman" w:hAnsi="Verdana" w:cs="TimesNewRomanPSMT"/>
          <w:sz w:val="18"/>
          <w:szCs w:val="18"/>
          <w:lang w:eastAsia="fr-FR"/>
        </w:rPr>
      </w:pPr>
      <w:r w:rsidRPr="00B449C4">
        <w:rPr>
          <w:rFonts w:ascii="Verdana" w:eastAsia="Times New Roman" w:hAnsi="Verdana" w:cs="TimesNewRomanPSMT"/>
          <w:sz w:val="18"/>
          <w:szCs w:val="18"/>
          <w:lang w:eastAsia="fr-FR"/>
        </w:rPr>
        <w:t>ČNB se oznámení zasílá prostřednictvím internetové aplikace České národní banky pro sběr informačních p</w:t>
      </w:r>
      <w:r w:rsidR="00CC451C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>ovinností a registraci subjektů</w:t>
      </w:r>
      <w:r w:rsidR="007929C4" w:rsidRPr="00B449C4">
        <w:rPr>
          <w:rStyle w:val="Znakapoznpodarou"/>
          <w:rFonts w:ascii="Verdana" w:eastAsia="Times New Roman" w:hAnsi="Verdana" w:cs="TimesNewRomanPSMT"/>
          <w:sz w:val="18"/>
          <w:szCs w:val="18"/>
          <w:lang w:eastAsia="fr-FR"/>
        </w:rPr>
        <w:footnoteReference w:id="3"/>
      </w:r>
      <w:r w:rsidR="00CC451C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, </w:t>
      </w:r>
      <w:r w:rsidR="00CB012E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>ve</w:t>
      </w:r>
      <w:r w:rsidR="00CC451C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 které se vyplněn</w:t>
      </w:r>
      <w:r w:rsidR="007D6572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ý formulář </w:t>
      </w:r>
      <w:r w:rsidR="00CB012E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>u</w:t>
      </w:r>
      <w:r w:rsidR="007D6572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kládá jako příloha. Je-li plněna oznamovací povinnost dvou či více osob (společné oznámení), je třeba za každou osobu s oznamovací povinností vyplnit jeden formulář (pole 1 – 11, je-li relevantní) a </w:t>
      </w:r>
      <w:r w:rsidR="00080222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uložit </w:t>
      </w:r>
      <w:r w:rsidR="007D6572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je </w:t>
      </w:r>
      <w:r w:rsidR="00807BA4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všechny </w:t>
      </w:r>
      <w:r w:rsidR="007D6572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jako přílohy příslušného </w:t>
      </w:r>
      <w:r w:rsidR="00080222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společného </w:t>
      </w:r>
      <w:r w:rsidR="007D6572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>oznámení v internetové aplikac</w:t>
      </w:r>
      <w:r w:rsidR="0019317A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 xml:space="preserve">i </w:t>
      </w:r>
      <w:r w:rsidR="001C616C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>Če</w:t>
      </w:r>
      <w:r w:rsidR="007D6572" w:rsidRPr="00B449C4">
        <w:rPr>
          <w:rFonts w:ascii="Verdana" w:eastAsia="Times New Roman" w:hAnsi="Verdana" w:cs="TimesNewRomanPSMT"/>
          <w:sz w:val="18"/>
          <w:szCs w:val="18"/>
          <w:lang w:eastAsia="fr-FR"/>
        </w:rPr>
        <w:t>ské národní banky pro sběr informačních povinností.</w:t>
      </w:r>
    </w:p>
    <w:p w:rsidR="009340F2" w:rsidRPr="006128AE" w:rsidRDefault="00A01F0E" w:rsidP="00A1313B">
      <w:pPr>
        <w:autoSpaceDE w:val="0"/>
        <w:autoSpaceDN w:val="0"/>
        <w:adjustRightInd w:val="0"/>
        <w:spacing w:after="60" w:line="240" w:lineRule="auto"/>
        <w:ind w:left="283" w:hanging="170"/>
        <w:jc w:val="both"/>
        <w:rPr>
          <w:rFonts w:ascii="Verdana" w:eastAsia="Times New Roman" w:hAnsi="Verdana" w:cs="TimesNewRomanPSMT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2</w:t>
      </w:r>
      <w:r w:rsidR="009340F2" w:rsidRPr="006128AE">
        <w:rPr>
          <w:rFonts w:ascii="Verdana" w:eastAsia="Times New Roman" w:hAnsi="Verdana" w:cs="Arial"/>
          <w:i/>
          <w:sz w:val="18"/>
          <w:szCs w:val="18"/>
          <w:lang w:eastAsia="fr-FR"/>
        </w:rPr>
        <w:t xml:space="preserve"> </w:t>
      </w:r>
      <w:r w:rsidR="009340F2" w:rsidRPr="006128AE">
        <w:rPr>
          <w:rFonts w:ascii="Verdana" w:eastAsia="Times New Roman" w:hAnsi="Verdana" w:cs="TimesNewRomanPSMT"/>
          <w:sz w:val="18"/>
          <w:szCs w:val="18"/>
          <w:lang w:eastAsia="fr-FR"/>
        </w:rPr>
        <w:t>Emitentem se podle § 118 odst. 1 písm. a) ZPKT rozumí emitent akcie nebo obdobného cenného papíru představujícího podíl na tomto emitentovi, je-li tento cenný papír přijat k obchodování na evropském regulovaném trhu a má-li tento emitent sídlo na území</w:t>
      </w:r>
    </w:p>
    <w:p w:rsidR="009340F2" w:rsidRPr="006128AE" w:rsidRDefault="009340F2" w:rsidP="00A131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TimesNewRomanPSMT"/>
          <w:sz w:val="18"/>
          <w:szCs w:val="18"/>
          <w:lang w:eastAsia="fr-FR"/>
        </w:rPr>
      </w:pPr>
      <w:r w:rsidRPr="006128AE">
        <w:rPr>
          <w:rFonts w:ascii="Verdana" w:eastAsia="Times New Roman" w:hAnsi="Verdana" w:cs="TimesNewRomanPSMT"/>
          <w:sz w:val="18"/>
          <w:szCs w:val="18"/>
          <w:lang w:eastAsia="fr-FR"/>
        </w:rPr>
        <w:t>1. České republiky, nebo</w:t>
      </w:r>
    </w:p>
    <w:p w:rsidR="009340F2" w:rsidRPr="006128AE" w:rsidRDefault="009340F2" w:rsidP="00A1313B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Verdana" w:eastAsia="Times New Roman" w:hAnsi="Verdana" w:cs="TimesNewRomanPSMT"/>
          <w:sz w:val="18"/>
          <w:szCs w:val="18"/>
          <w:lang w:eastAsia="fr-FR"/>
        </w:rPr>
      </w:pPr>
      <w:r w:rsidRPr="006128AE">
        <w:rPr>
          <w:rFonts w:ascii="Verdana" w:eastAsia="Times New Roman" w:hAnsi="Verdana" w:cs="TimesNewRomanPSMT"/>
          <w:sz w:val="18"/>
          <w:szCs w:val="18"/>
          <w:lang w:eastAsia="fr-FR"/>
        </w:rPr>
        <w:t>2. státu, který není členským státem Evropské unie, zvolil-li si tento emitent Českou republiku za referenční stát (§ 123 ZPKT).</w:t>
      </w:r>
    </w:p>
    <w:p w:rsidR="000169C7" w:rsidRDefault="00A01F0E" w:rsidP="00A1313B">
      <w:pPr>
        <w:autoSpaceDE w:val="0"/>
        <w:autoSpaceDN w:val="0"/>
        <w:adjustRightInd w:val="0"/>
        <w:spacing w:after="120" w:line="240" w:lineRule="auto"/>
        <w:ind w:left="283" w:hanging="170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3</w:t>
      </w:r>
      <w:r w:rsidR="009340F2" w:rsidRPr="00B449C4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0169C7" w:rsidRPr="00B449C4">
        <w:rPr>
          <w:rFonts w:ascii="Verdana" w:eastAsia="Times New Roman" w:hAnsi="Verdana" w:cs="Arial"/>
          <w:sz w:val="18"/>
          <w:szCs w:val="18"/>
          <w:lang w:eastAsia="fr-FR"/>
        </w:rPr>
        <w:t>Takto se označí zejména pasivní změny podílu na hlasovacích právech, tj. zůstane-li počet hlasovacích práv oznamovatele stejný, nicméně dojde k dosažení či překročení hranice pro vznik oznamovací povinnosti v důsledku změny základního kapitálu nebo celkového počtu hlasovacích práv emitenta.</w:t>
      </w:r>
    </w:p>
    <w:p w:rsidR="00662C98" w:rsidRPr="006128AE" w:rsidRDefault="00947206" w:rsidP="00A1313B">
      <w:pPr>
        <w:autoSpaceDE w:val="0"/>
        <w:autoSpaceDN w:val="0"/>
        <w:adjustRightInd w:val="0"/>
        <w:spacing w:after="120" w:line="240" w:lineRule="auto"/>
        <w:ind w:left="283" w:hanging="170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4</w:t>
      </w:r>
      <w:r w:rsidRPr="00F4559F">
        <w:rPr>
          <w:rFonts w:ascii="Verdana" w:eastAsia="Times New Roman" w:hAnsi="Verdana" w:cs="Arial"/>
          <w:sz w:val="18"/>
          <w:szCs w:val="18"/>
          <w:vertAlign w:val="superscript"/>
          <w:lang w:eastAsia="fr-FR"/>
        </w:rPr>
        <w:t xml:space="preserve"> </w:t>
      </w:r>
      <w:r w:rsidR="00662C98" w:rsidRPr="00F4559F">
        <w:rPr>
          <w:rFonts w:ascii="Verdana" w:eastAsia="Times New Roman" w:hAnsi="Verdana" w:cs="Arial"/>
          <w:sz w:val="18"/>
          <w:szCs w:val="18"/>
          <w:lang w:eastAsia="fr-FR"/>
        </w:rPr>
        <w:t xml:space="preserve">Jiným důvodem může být např. změna v povaze podílu v důsledku uplatnění opce, </w:t>
      </w:r>
      <w:r w:rsidR="006E7D62" w:rsidRPr="00F4559F">
        <w:rPr>
          <w:rFonts w:ascii="Verdana" w:eastAsia="Times New Roman" w:hAnsi="Verdana" w:cs="Arial"/>
          <w:sz w:val="18"/>
          <w:szCs w:val="18"/>
          <w:lang w:eastAsia="fr-FR"/>
        </w:rPr>
        <w:t xml:space="preserve">zánik práva na dodání akcií </w:t>
      </w:r>
      <w:r w:rsidR="001C616C" w:rsidRPr="00F4559F">
        <w:rPr>
          <w:rFonts w:ascii="Verdana" w:eastAsia="Times New Roman" w:hAnsi="Verdana" w:cs="Arial"/>
          <w:sz w:val="18"/>
          <w:szCs w:val="18"/>
          <w:lang w:eastAsia="fr-FR"/>
        </w:rPr>
        <w:t xml:space="preserve">v důsledku </w:t>
      </w:r>
      <w:proofErr w:type="spellStart"/>
      <w:r w:rsidR="006E7D62" w:rsidRPr="00F4559F">
        <w:rPr>
          <w:rFonts w:ascii="Verdana" w:eastAsia="Times New Roman" w:hAnsi="Verdana" w:cs="Arial"/>
          <w:sz w:val="18"/>
          <w:szCs w:val="18"/>
          <w:lang w:eastAsia="fr-FR"/>
        </w:rPr>
        <w:t>expirace</w:t>
      </w:r>
      <w:proofErr w:type="spellEnd"/>
      <w:r w:rsidR="006E7D62" w:rsidRPr="00F4559F">
        <w:rPr>
          <w:rFonts w:ascii="Verdana" w:eastAsia="Times New Roman" w:hAnsi="Verdana" w:cs="Arial"/>
          <w:sz w:val="18"/>
          <w:szCs w:val="18"/>
          <w:lang w:eastAsia="fr-FR"/>
        </w:rPr>
        <w:t xml:space="preserve"> investičního nástroje, změna hodnoty delta u investičních nástrojů s výlučně peněžním vypořádáním, </w:t>
      </w:r>
      <w:r w:rsidR="00662C98" w:rsidRPr="00F4559F">
        <w:rPr>
          <w:rFonts w:ascii="Verdana" w:eastAsia="Times New Roman" w:hAnsi="Verdana" w:cs="Arial"/>
          <w:sz w:val="18"/>
          <w:szCs w:val="18"/>
          <w:lang w:eastAsia="fr-FR"/>
        </w:rPr>
        <w:t>změna v rozložení podílu na hlasovacích právech me</w:t>
      </w:r>
      <w:r w:rsidR="00F4559F">
        <w:rPr>
          <w:rFonts w:ascii="Verdana" w:eastAsia="Times New Roman" w:hAnsi="Verdana" w:cs="Arial"/>
          <w:sz w:val="18"/>
          <w:szCs w:val="18"/>
          <w:lang w:eastAsia="fr-FR"/>
        </w:rPr>
        <w:t>zi osobami jednajícími ve shodě nebo</w:t>
      </w:r>
      <w:r w:rsidR="00662C98" w:rsidRPr="00F4559F">
        <w:rPr>
          <w:rFonts w:ascii="Verdana" w:eastAsia="Times New Roman" w:hAnsi="Verdana" w:cs="Arial"/>
          <w:sz w:val="18"/>
          <w:szCs w:val="18"/>
          <w:lang w:eastAsia="fr-FR"/>
        </w:rPr>
        <w:t xml:space="preserve"> změna ve struktuře podnikatelského seskupení (koncernu).</w:t>
      </w:r>
      <w:r w:rsidR="00662C98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</w:p>
    <w:p w:rsidR="007A3ABF" w:rsidRPr="006128AE" w:rsidRDefault="000F215C" w:rsidP="00A1313B">
      <w:pPr>
        <w:autoSpaceDE w:val="0"/>
        <w:autoSpaceDN w:val="0"/>
        <w:adjustRightInd w:val="0"/>
        <w:spacing w:after="60" w:line="240" w:lineRule="auto"/>
        <w:ind w:left="283" w:hanging="170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5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7A3ABF" w:rsidRPr="006128AE">
        <w:rPr>
          <w:rFonts w:ascii="Verdana" w:eastAsia="Times New Roman" w:hAnsi="Verdana" w:cs="Arial"/>
          <w:sz w:val="18"/>
          <w:szCs w:val="18"/>
          <w:lang w:eastAsia="fr-FR"/>
        </w:rPr>
        <w:t>Osobou, které vznikla oznamovací povinnost, může být (</w:t>
      </w:r>
      <w:r w:rsidR="008C3E80">
        <w:rPr>
          <w:rFonts w:ascii="Verdana" w:eastAsia="Times New Roman" w:hAnsi="Verdana" w:cs="Arial"/>
          <w:sz w:val="18"/>
          <w:szCs w:val="18"/>
          <w:lang w:eastAsia="fr-FR"/>
        </w:rPr>
        <w:t>i</w:t>
      </w:r>
      <w:r w:rsidR="007A3ABF" w:rsidRPr="006128AE">
        <w:rPr>
          <w:rFonts w:ascii="Verdana" w:eastAsia="Times New Roman" w:hAnsi="Verdana" w:cs="Arial"/>
          <w:sz w:val="18"/>
          <w:szCs w:val="18"/>
          <w:lang w:eastAsia="fr-FR"/>
        </w:rPr>
        <w:t>) akcionář; (</w:t>
      </w:r>
      <w:proofErr w:type="spellStart"/>
      <w:r w:rsidR="008C3E80">
        <w:rPr>
          <w:rFonts w:ascii="Verdana" w:eastAsia="Times New Roman" w:hAnsi="Verdana" w:cs="Arial"/>
          <w:sz w:val="18"/>
          <w:szCs w:val="18"/>
          <w:lang w:eastAsia="fr-FR"/>
        </w:rPr>
        <w:t>ii</w:t>
      </w:r>
      <w:proofErr w:type="spellEnd"/>
      <w:r w:rsidR="007A3ABF" w:rsidRPr="006128AE">
        <w:rPr>
          <w:rFonts w:ascii="Verdana" w:eastAsia="Times New Roman" w:hAnsi="Verdana" w:cs="Arial"/>
          <w:sz w:val="18"/>
          <w:szCs w:val="18"/>
          <w:lang w:eastAsia="fr-FR"/>
        </w:rPr>
        <w:t>) jiná osoba podle § 122</w:t>
      </w:r>
      <w:r w:rsidR="008C3E80">
        <w:rPr>
          <w:rFonts w:ascii="Verdana" w:eastAsia="Times New Roman" w:hAnsi="Verdana" w:cs="Arial"/>
          <w:sz w:val="18"/>
          <w:szCs w:val="18"/>
          <w:lang w:eastAsia="fr-FR"/>
        </w:rPr>
        <w:t xml:space="preserve"> odst. 2 písm. </w:t>
      </w:r>
      <w:r w:rsidR="008C3E80" w:rsidRPr="008C3E80">
        <w:rPr>
          <w:rFonts w:ascii="Verdana" w:eastAsia="Times New Roman" w:hAnsi="Verdana" w:cs="Arial"/>
          <w:sz w:val="18"/>
          <w:szCs w:val="18"/>
          <w:lang w:eastAsia="fr-FR"/>
        </w:rPr>
        <w:t>a) až g) ZPKT; (</w:t>
      </w:r>
      <w:proofErr w:type="spellStart"/>
      <w:r w:rsidR="008C3E80" w:rsidRPr="008C3E80">
        <w:rPr>
          <w:rFonts w:ascii="Verdana" w:eastAsia="Times New Roman" w:hAnsi="Verdana" w:cs="Arial"/>
          <w:sz w:val="18"/>
          <w:szCs w:val="18"/>
          <w:lang w:eastAsia="fr-FR"/>
        </w:rPr>
        <w:t>iii</w:t>
      </w:r>
      <w:proofErr w:type="spellEnd"/>
      <w:r w:rsidR="007A3ABF" w:rsidRPr="008C3E80">
        <w:rPr>
          <w:rFonts w:ascii="Verdana" w:eastAsia="Times New Roman" w:hAnsi="Verdana" w:cs="Arial"/>
          <w:sz w:val="18"/>
          <w:szCs w:val="18"/>
          <w:lang w:eastAsia="fr-FR"/>
        </w:rPr>
        <w:t>) vlastník investičních nástrojů podle § 122 odst. 2 písm. h) nebo i) ZPKT.</w:t>
      </w:r>
      <w:r w:rsidR="00D44EFB" w:rsidRPr="008C3E80">
        <w:rPr>
          <w:rFonts w:ascii="Verdana" w:eastAsia="Times New Roman" w:hAnsi="Verdana" w:cs="Arial"/>
          <w:sz w:val="18"/>
          <w:szCs w:val="18"/>
          <w:lang w:eastAsia="fr-FR"/>
        </w:rPr>
        <w:t xml:space="preserve"> Lze uvést i více osob, je-li to relevantní.</w:t>
      </w:r>
      <w:r w:rsidR="00D44EFB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</w:p>
    <w:p w:rsidR="00E021F9" w:rsidRPr="006128AE" w:rsidRDefault="00D44EFB" w:rsidP="00A1313B">
      <w:pPr>
        <w:autoSpaceDE w:val="0"/>
        <w:autoSpaceDN w:val="0"/>
        <w:adjustRightInd w:val="0"/>
        <w:spacing w:after="120" w:line="240" w:lineRule="auto"/>
        <w:ind w:left="283" w:hanging="170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6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E021F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Uplatní se v případech započítávání hlasovacích práv podle § 122 odst. 2 písm. b) až g) ZPKT. </w:t>
      </w:r>
      <w:r w:rsidR="00F50E23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Uvede se označení (jméno/název) akcionáře, který </w:t>
      </w:r>
      <w:r w:rsidR="00344C99" w:rsidRPr="006128AE">
        <w:rPr>
          <w:rFonts w:ascii="Verdana" w:eastAsia="Times New Roman" w:hAnsi="Verdana" w:cs="Arial"/>
          <w:sz w:val="18"/>
          <w:szCs w:val="18"/>
          <w:lang w:eastAsia="fr-FR"/>
        </w:rPr>
        <w:t>je</w:t>
      </w:r>
      <w:r w:rsidR="00F50E23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protistranou </w:t>
      </w:r>
      <w:r w:rsidR="00E021F9" w:rsidRPr="006128AE">
        <w:rPr>
          <w:rFonts w:ascii="Verdana" w:eastAsia="Times New Roman" w:hAnsi="Verdana" w:cs="Arial"/>
          <w:sz w:val="18"/>
          <w:szCs w:val="18"/>
          <w:lang w:eastAsia="fr-FR"/>
        </w:rPr>
        <w:t>osob</w:t>
      </w:r>
      <w:r w:rsidR="00F50E23" w:rsidRPr="006128AE">
        <w:rPr>
          <w:rFonts w:ascii="Verdana" w:eastAsia="Times New Roman" w:hAnsi="Verdana" w:cs="Arial"/>
          <w:sz w:val="18"/>
          <w:szCs w:val="18"/>
          <w:lang w:eastAsia="fr-FR"/>
        </w:rPr>
        <w:t>y, jíž vznikla oznamovací povinnost</w:t>
      </w:r>
      <w:r w:rsidR="00344C99" w:rsidRPr="006128AE">
        <w:rPr>
          <w:rFonts w:ascii="Verdana" w:eastAsia="Times New Roman" w:hAnsi="Verdana" w:cs="Arial"/>
          <w:sz w:val="18"/>
          <w:szCs w:val="18"/>
          <w:lang w:eastAsia="fr-FR"/>
        </w:rPr>
        <w:t>,</w:t>
      </w:r>
      <w:r w:rsidR="00F50E23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a </w:t>
      </w:r>
      <w:r w:rsidR="009B014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od kterého si tato osoba započítává </w:t>
      </w:r>
      <w:r w:rsidR="00F50E23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hlasovací práva. </w:t>
      </w:r>
      <w:r w:rsidR="00344C9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To </w:t>
      </w:r>
      <w:r w:rsidR="00E021F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však </w:t>
      </w:r>
      <w:r w:rsidR="00344C9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platí </w:t>
      </w:r>
      <w:r w:rsidR="00E021F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pouze tehdy, </w:t>
      </w:r>
      <w:r w:rsidR="00344C99" w:rsidRPr="006128AE">
        <w:rPr>
          <w:rFonts w:ascii="Verdana" w:eastAsia="Times New Roman" w:hAnsi="Verdana" w:cs="Arial"/>
          <w:sz w:val="18"/>
          <w:szCs w:val="18"/>
          <w:lang w:eastAsia="fr-FR"/>
        </w:rPr>
        <w:t>má</w:t>
      </w:r>
      <w:r w:rsidR="00E021F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-li </w:t>
      </w:r>
      <w:r w:rsidR="00344C9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takový akcionář </w:t>
      </w:r>
      <w:r w:rsidR="00E021F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podíl na hlasovacích právech </w:t>
      </w:r>
      <w:r w:rsidR="00344C99" w:rsidRPr="006128AE">
        <w:rPr>
          <w:rFonts w:ascii="Verdana" w:eastAsia="Times New Roman" w:hAnsi="Verdana" w:cs="Arial"/>
          <w:sz w:val="18"/>
          <w:szCs w:val="18"/>
          <w:lang w:eastAsia="fr-FR"/>
        </w:rPr>
        <w:t>emitenta</w:t>
      </w:r>
      <w:r w:rsidR="00216D9F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dosahující alespoň nejnižší hranice pro vznik oznamovací povinnosti</w:t>
      </w:r>
      <w:r w:rsidR="00E021F9" w:rsidRPr="006128AE">
        <w:rPr>
          <w:rFonts w:ascii="Verdana" w:eastAsia="Times New Roman" w:hAnsi="Verdana" w:cs="Arial"/>
          <w:sz w:val="18"/>
          <w:szCs w:val="18"/>
          <w:lang w:eastAsia="fr-FR"/>
        </w:rPr>
        <w:t>.</w:t>
      </w:r>
    </w:p>
    <w:p w:rsidR="001578E2" w:rsidRPr="006128AE" w:rsidRDefault="00D44EFB" w:rsidP="00A1313B">
      <w:pPr>
        <w:autoSpaceDE w:val="0"/>
        <w:autoSpaceDN w:val="0"/>
        <w:adjustRightInd w:val="0"/>
        <w:spacing w:after="120" w:line="240" w:lineRule="auto"/>
        <w:ind w:left="283" w:hanging="170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7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1578E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Uvede se datum nabytí nebo pozbytí akcií či datum jiné události zakládající oznamovací povinnost (např. datum zahájení jednání ve shodě). Pasivní změny podílu na hlasovacích právech se uvedou s datem účinnosti změny základního kapitálu. </w:t>
      </w:r>
    </w:p>
    <w:p w:rsidR="009340F2" w:rsidRDefault="00F61739" w:rsidP="00A1313B">
      <w:pPr>
        <w:autoSpaceDE w:val="0"/>
        <w:autoSpaceDN w:val="0"/>
        <w:adjustRightInd w:val="0"/>
        <w:spacing w:after="60" w:line="240" w:lineRule="auto"/>
        <w:ind w:left="283" w:hanging="170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8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1E34FC" w:rsidRPr="006128AE">
        <w:rPr>
          <w:rFonts w:ascii="Verdana" w:eastAsia="Times New Roman" w:hAnsi="Verdana" w:cs="Arial"/>
          <w:sz w:val="18"/>
          <w:szCs w:val="18"/>
          <w:lang w:eastAsia="fr-FR"/>
        </w:rPr>
        <w:t>Přesnou výši nového celkového podílu na hlasovacích právech je nutné uvést i v případě, kdy je v tomto poli oznamován pokles pod nejnižší hranici pro vznik oznamovací povinnosti. V takovém případě nicméně není třeba vyplňovat předchozí dv</w:t>
      </w:r>
      <w:r w:rsidR="000F6176">
        <w:rPr>
          <w:rFonts w:ascii="Verdana" w:eastAsia="Times New Roman" w:hAnsi="Verdana" w:cs="Arial"/>
          <w:sz w:val="18"/>
          <w:szCs w:val="18"/>
          <w:lang w:eastAsia="fr-FR"/>
        </w:rPr>
        <w:t>ě</w:t>
      </w:r>
      <w:r w:rsidR="001E34FC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0F6176">
        <w:rPr>
          <w:rFonts w:ascii="Verdana" w:eastAsia="Times New Roman" w:hAnsi="Verdana" w:cs="Arial"/>
          <w:sz w:val="18"/>
          <w:szCs w:val="18"/>
          <w:lang w:eastAsia="fr-FR"/>
        </w:rPr>
        <w:t>políčka</w:t>
      </w:r>
      <w:r w:rsidR="00D06CAF">
        <w:rPr>
          <w:rFonts w:ascii="Verdana" w:eastAsia="Times New Roman" w:hAnsi="Verdana" w:cs="Arial"/>
          <w:sz w:val="18"/>
          <w:szCs w:val="18"/>
          <w:lang w:eastAsia="fr-FR"/>
        </w:rPr>
        <w:t xml:space="preserve"> [(7.</w:t>
      </w:r>
      <w:r w:rsidR="00D06CAF" w:rsidRPr="006128AE">
        <w:rPr>
          <w:rFonts w:ascii="Verdana" w:eastAsia="Times New Roman" w:hAnsi="Verdana" w:cs="Arial"/>
          <w:sz w:val="18"/>
          <w:szCs w:val="18"/>
          <w:lang w:eastAsia="fr-FR"/>
        </w:rPr>
        <w:t>A) a (7.B.1+7.B.2)].</w:t>
      </w:r>
    </w:p>
    <w:p w:rsidR="00D06CAF" w:rsidRPr="006128AE" w:rsidRDefault="00D06CAF" w:rsidP="00A1313B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0F6176">
        <w:rPr>
          <w:rFonts w:ascii="Verdana" w:eastAsia="Times New Roman" w:hAnsi="Verdana" w:cs="Arial"/>
          <w:sz w:val="18"/>
          <w:szCs w:val="18"/>
          <w:lang w:eastAsia="fr-FR"/>
        </w:rPr>
        <w:t>Procentuální podíl uvádějte v celém formuláři s p</w:t>
      </w:r>
      <w:r w:rsidR="0033447F">
        <w:rPr>
          <w:rFonts w:ascii="Verdana" w:eastAsia="Times New Roman" w:hAnsi="Verdana" w:cs="Arial"/>
          <w:sz w:val="18"/>
          <w:szCs w:val="18"/>
          <w:lang w:eastAsia="fr-FR"/>
        </w:rPr>
        <w:t>řesností na dvě desetinná místa (bez zaokrouhlení).</w:t>
      </w:r>
    </w:p>
    <w:p w:rsidR="001E34FC" w:rsidRPr="006128AE" w:rsidRDefault="008D314F" w:rsidP="00A1313B">
      <w:pPr>
        <w:autoSpaceDE w:val="0"/>
        <w:autoSpaceDN w:val="0"/>
        <w:adjustRightInd w:val="0"/>
        <w:spacing w:after="120" w:line="240" w:lineRule="auto"/>
        <w:ind w:left="283" w:hanging="170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9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1E34FC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Celkový počet hlasovacích práv se odvozuje od všech akcií emitenta, s nimiž je </w:t>
      </w:r>
      <w:r w:rsidR="0045777F">
        <w:rPr>
          <w:rFonts w:ascii="Verdana" w:eastAsia="Times New Roman" w:hAnsi="Verdana" w:cs="Arial"/>
          <w:sz w:val="18"/>
          <w:szCs w:val="18"/>
          <w:lang w:eastAsia="fr-FR"/>
        </w:rPr>
        <w:t xml:space="preserve">trvale </w:t>
      </w:r>
      <w:r w:rsidR="001E34FC" w:rsidRPr="006128AE">
        <w:rPr>
          <w:rFonts w:ascii="Verdana" w:eastAsia="Times New Roman" w:hAnsi="Verdana" w:cs="Arial"/>
          <w:sz w:val="18"/>
          <w:szCs w:val="18"/>
          <w:lang w:eastAsia="fr-FR"/>
        </w:rPr>
        <w:t>spojeno hlasovací právo</w:t>
      </w:r>
      <w:r w:rsidR="0045777F">
        <w:rPr>
          <w:rFonts w:ascii="Verdana" w:eastAsia="Times New Roman" w:hAnsi="Verdana" w:cs="Arial"/>
          <w:sz w:val="18"/>
          <w:szCs w:val="18"/>
          <w:lang w:eastAsia="fr-FR"/>
        </w:rPr>
        <w:t xml:space="preserve"> anebo které dočasně </w:t>
      </w:r>
      <w:r w:rsidR="00091623">
        <w:rPr>
          <w:rFonts w:ascii="Verdana" w:eastAsia="Times New Roman" w:hAnsi="Verdana" w:cs="Arial"/>
          <w:sz w:val="18"/>
          <w:szCs w:val="18"/>
          <w:lang w:eastAsia="fr-FR"/>
        </w:rPr>
        <w:t>naby</w:t>
      </w:r>
      <w:r w:rsidR="0045777F">
        <w:rPr>
          <w:rFonts w:ascii="Verdana" w:eastAsia="Times New Roman" w:hAnsi="Verdana" w:cs="Arial"/>
          <w:sz w:val="18"/>
          <w:szCs w:val="18"/>
          <w:lang w:eastAsia="fr-FR"/>
        </w:rPr>
        <w:t>dou hlasovací právo</w:t>
      </w:r>
      <w:r w:rsidR="001E34FC" w:rsidRPr="006128AE">
        <w:rPr>
          <w:rFonts w:ascii="Verdana" w:eastAsia="Times New Roman" w:hAnsi="Verdana" w:cs="Arial"/>
          <w:sz w:val="18"/>
          <w:szCs w:val="18"/>
          <w:lang w:eastAsia="fr-FR"/>
        </w:rPr>
        <w:t>, a to bez ohledu na skutečnost, zda je lze vykonat.</w:t>
      </w:r>
    </w:p>
    <w:p w:rsidR="00397771" w:rsidRPr="006128AE" w:rsidRDefault="004A75B9" w:rsidP="00A1313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10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397771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Podrobnosti v </w:t>
      </w:r>
      <w:r w:rsidR="008D314F">
        <w:rPr>
          <w:rFonts w:ascii="Verdana" w:eastAsia="Times New Roman" w:hAnsi="Verdana" w:cs="Arial"/>
          <w:sz w:val="18"/>
          <w:szCs w:val="18"/>
          <w:lang w:eastAsia="fr-FR"/>
        </w:rPr>
        <w:t>položce</w:t>
      </w:r>
      <w:r w:rsidR="00397771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č. 7 není třeba vyplňovat, pokud nově oznamovaný podíl “Celkem v %” v</w:t>
      </w:r>
      <w:r w:rsidR="008D314F">
        <w:rPr>
          <w:rFonts w:ascii="Verdana" w:eastAsia="Times New Roman" w:hAnsi="Verdana" w:cs="Arial"/>
          <w:sz w:val="18"/>
          <w:szCs w:val="18"/>
          <w:lang w:eastAsia="fr-FR"/>
        </w:rPr>
        <w:t> předchozí položce</w:t>
      </w:r>
      <w:r w:rsidR="00397771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č. 6 klesl pod nejnižší hranici pro vznik oznamovací povinnosti.</w:t>
      </w:r>
    </w:p>
    <w:p w:rsidR="00A42379" w:rsidRPr="006128AE" w:rsidRDefault="006E1826" w:rsidP="00A1313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1D3986"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V případě, že se</w:t>
      </w:r>
      <w:bookmarkStart w:id="1" w:name="_GoBack"/>
      <w:bookmarkEnd w:id="1"/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podíl na hlasovacích právech skládá z </w:t>
      </w:r>
      <w:r w:rsidR="0041083F">
        <w:rPr>
          <w:rFonts w:ascii="Verdana" w:eastAsia="Times New Roman" w:hAnsi="Verdana" w:cs="Arial"/>
          <w:sz w:val="18"/>
          <w:szCs w:val="18"/>
          <w:lang w:eastAsia="fr-FR"/>
        </w:rPr>
        <w:t>(</w:t>
      </w:r>
      <w:r w:rsidR="00DA728D">
        <w:rPr>
          <w:rFonts w:ascii="Verdana" w:eastAsia="Times New Roman" w:hAnsi="Verdana" w:cs="Arial"/>
          <w:sz w:val="18"/>
          <w:szCs w:val="18"/>
          <w:lang w:eastAsia="fr-FR"/>
        </w:rPr>
        <w:t>a</w:t>
      </w:r>
      <w:r w:rsidR="0041083F">
        <w:rPr>
          <w:rFonts w:ascii="Verdana" w:eastAsia="Times New Roman" w:hAnsi="Verdana" w:cs="Arial"/>
          <w:sz w:val="18"/>
          <w:szCs w:val="18"/>
          <w:lang w:eastAsia="fr-FR"/>
        </w:rPr>
        <w:t xml:space="preserve">) 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hlasovacích práv přímo držených </w:t>
      </w:r>
      <w:r w:rsidR="00C6155A">
        <w:rPr>
          <w:rFonts w:ascii="Verdana" w:eastAsia="Times New Roman" w:hAnsi="Verdana" w:cs="Arial"/>
          <w:sz w:val="18"/>
          <w:szCs w:val="18"/>
          <w:lang w:eastAsia="fr-FR"/>
        </w:rPr>
        <w:t>[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>§ 122 odst. 1 ZPKT</w:t>
      </w:r>
      <w:r w:rsidR="00623C9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, tj. hlasovací práva spojená s akciemi </w:t>
      </w:r>
      <w:r w:rsidR="00D40F55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ve vlastnictví </w:t>
      </w:r>
      <w:r w:rsidR="00C6155A">
        <w:rPr>
          <w:rFonts w:ascii="Verdana" w:eastAsia="Times New Roman" w:hAnsi="Verdana" w:cs="Arial"/>
          <w:sz w:val="18"/>
          <w:szCs w:val="18"/>
          <w:lang w:eastAsia="fr-FR"/>
        </w:rPr>
        <w:t>dané osoby]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a </w:t>
      </w:r>
      <w:r w:rsidR="0041083F">
        <w:rPr>
          <w:rFonts w:ascii="Verdana" w:eastAsia="Times New Roman" w:hAnsi="Verdana" w:cs="Arial"/>
          <w:sz w:val="18"/>
          <w:szCs w:val="18"/>
          <w:lang w:eastAsia="fr-FR"/>
        </w:rPr>
        <w:t>(</w:t>
      </w:r>
      <w:r w:rsidR="00C807CC">
        <w:rPr>
          <w:rFonts w:ascii="Verdana" w:eastAsia="Times New Roman" w:hAnsi="Verdana" w:cs="Arial"/>
          <w:sz w:val="18"/>
          <w:szCs w:val="18"/>
          <w:lang w:eastAsia="fr-FR"/>
        </w:rPr>
        <w:t>b</w:t>
      </w:r>
      <w:r w:rsidR="0041083F">
        <w:rPr>
          <w:rFonts w:ascii="Verdana" w:eastAsia="Times New Roman" w:hAnsi="Verdana" w:cs="Arial"/>
          <w:sz w:val="18"/>
          <w:szCs w:val="18"/>
          <w:lang w:eastAsia="fr-FR"/>
        </w:rPr>
        <w:t xml:space="preserve">) 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hlasovacích práv přičítaných </w:t>
      </w:r>
      <w:r w:rsidR="002B7CE6" w:rsidRPr="006128AE">
        <w:rPr>
          <w:rFonts w:ascii="Verdana" w:eastAsia="Times New Roman" w:hAnsi="Verdana" w:cs="Arial"/>
          <w:sz w:val="18"/>
          <w:szCs w:val="18"/>
          <w:lang w:eastAsia="fr-FR"/>
        </w:rPr>
        <w:t>[</w:t>
      </w:r>
      <w:r w:rsidR="0041083F">
        <w:rPr>
          <w:rFonts w:ascii="Verdana" w:eastAsia="Times New Roman" w:hAnsi="Verdana" w:cs="Arial"/>
          <w:sz w:val="18"/>
          <w:szCs w:val="18"/>
          <w:lang w:eastAsia="fr-FR"/>
        </w:rPr>
        <w:t>§ 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122 odst. 2 </w:t>
      </w:r>
      <w:r w:rsidR="002B7CE6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písm. a) až g) 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>ZPKT</w:t>
      </w:r>
      <w:r w:rsidR="0011138D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, tedy bez hlasovacích práv z investičních nástrojů podle písm. </w:t>
      </w:r>
      <w:r w:rsidR="007D1C4E" w:rsidRPr="006128AE">
        <w:rPr>
          <w:rFonts w:ascii="Verdana" w:eastAsia="Times New Roman" w:hAnsi="Verdana" w:cs="Arial"/>
          <w:sz w:val="18"/>
          <w:szCs w:val="18"/>
          <w:lang w:eastAsia="fr-FR"/>
        </w:rPr>
        <w:t>h</w:t>
      </w:r>
      <w:r w:rsidR="0011138D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) a </w:t>
      </w:r>
      <w:r w:rsidR="007D1C4E" w:rsidRPr="006128AE">
        <w:rPr>
          <w:rFonts w:ascii="Verdana" w:eastAsia="Times New Roman" w:hAnsi="Verdana" w:cs="Arial"/>
          <w:sz w:val="18"/>
          <w:szCs w:val="18"/>
          <w:lang w:eastAsia="fr-FR"/>
        </w:rPr>
        <w:t>i</w:t>
      </w:r>
      <w:r w:rsidR="0011138D" w:rsidRPr="006128AE">
        <w:rPr>
          <w:rFonts w:ascii="Verdana" w:eastAsia="Times New Roman" w:hAnsi="Verdana" w:cs="Arial"/>
          <w:sz w:val="18"/>
          <w:szCs w:val="18"/>
          <w:lang w:eastAsia="fr-FR"/>
        </w:rPr>
        <w:t>), jež se vyplňují dále v samostatných tabulkách</w:t>
      </w:r>
      <w:r w:rsidR="00BA2F6F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B.1 a B.2</w:t>
      </w:r>
      <w:r w:rsidR="002B7CE6" w:rsidRPr="006128AE">
        <w:rPr>
          <w:rFonts w:ascii="Verdana" w:eastAsia="Times New Roman" w:hAnsi="Verdana" w:cs="Arial"/>
          <w:sz w:val="18"/>
          <w:szCs w:val="18"/>
          <w:lang w:eastAsia="fr-FR"/>
        </w:rPr>
        <w:t>]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, </w:t>
      </w:r>
      <w:r w:rsidR="002B7CE6" w:rsidRPr="006128AE">
        <w:rPr>
          <w:rFonts w:ascii="Verdana" w:eastAsia="Times New Roman" w:hAnsi="Verdana" w:cs="Arial"/>
          <w:sz w:val="18"/>
          <w:szCs w:val="18"/>
          <w:lang w:eastAsia="fr-FR"/>
        </w:rPr>
        <w:t>rozdělte počet a procento hlasovacích práv do příslušných sloupců pro přímou a nepřímou držbu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>. V opačném případě ponechte příslušn</w:t>
      </w:r>
      <w:r w:rsidR="002B7CE6" w:rsidRPr="006128AE">
        <w:rPr>
          <w:rFonts w:ascii="Verdana" w:eastAsia="Times New Roman" w:hAnsi="Verdana" w:cs="Arial"/>
          <w:sz w:val="18"/>
          <w:szCs w:val="18"/>
          <w:lang w:eastAsia="fr-FR"/>
        </w:rPr>
        <w:t>é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pol</w:t>
      </w:r>
      <w:r w:rsidR="00AE21E4">
        <w:rPr>
          <w:rFonts w:ascii="Verdana" w:eastAsia="Times New Roman" w:hAnsi="Verdana" w:cs="Arial"/>
          <w:sz w:val="18"/>
          <w:szCs w:val="18"/>
          <w:lang w:eastAsia="fr-FR"/>
        </w:rPr>
        <w:t>íčko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nevyplněn</w:t>
      </w:r>
      <w:r w:rsidR="002B7CE6" w:rsidRPr="006128AE">
        <w:rPr>
          <w:rFonts w:ascii="Verdana" w:eastAsia="Times New Roman" w:hAnsi="Verdana" w:cs="Arial"/>
          <w:sz w:val="18"/>
          <w:szCs w:val="18"/>
          <w:lang w:eastAsia="fr-FR"/>
        </w:rPr>
        <w:t>é</w:t>
      </w:r>
      <w:r w:rsidR="00A42379" w:rsidRPr="006128AE">
        <w:rPr>
          <w:rFonts w:ascii="Verdana" w:eastAsia="Times New Roman" w:hAnsi="Verdana" w:cs="Arial"/>
          <w:sz w:val="18"/>
          <w:szCs w:val="18"/>
          <w:lang w:eastAsia="fr-FR"/>
        </w:rPr>
        <w:t>.</w:t>
      </w:r>
    </w:p>
    <w:p w:rsidR="002C78B9" w:rsidRPr="006128AE" w:rsidRDefault="006E1826" w:rsidP="00A1313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C942DD"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2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2C78B9" w:rsidRPr="006128AE">
        <w:rPr>
          <w:rFonts w:ascii="Verdana" w:eastAsia="Times New Roman" w:hAnsi="Verdana" w:cs="Arial"/>
          <w:sz w:val="18"/>
          <w:szCs w:val="18"/>
          <w:lang w:eastAsia="fr-FR"/>
        </w:rPr>
        <w:t>Datum platnosti (</w:t>
      </w:r>
      <w:proofErr w:type="spellStart"/>
      <w:r w:rsidR="002C78B9" w:rsidRPr="006128AE">
        <w:rPr>
          <w:rFonts w:ascii="Verdana" w:eastAsia="Times New Roman" w:hAnsi="Verdana" w:cs="Arial"/>
          <w:sz w:val="18"/>
          <w:szCs w:val="18"/>
          <w:lang w:eastAsia="fr-FR"/>
        </w:rPr>
        <w:t>expirace</w:t>
      </w:r>
      <w:proofErr w:type="spellEnd"/>
      <w:r w:rsidR="002C78B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) investičního nástroje, tj. datum, 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kdy </w:t>
      </w:r>
      <w:r w:rsidR="009B014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příslušné </w:t>
      </w:r>
      <w:r w:rsidR="002C78B9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právo </w:t>
      </w:r>
      <w:r w:rsidR="00786F1B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plynoucí z investičního nástroje 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>zaniká</w:t>
      </w:r>
      <w:r w:rsidR="002C78B9" w:rsidRPr="006128AE">
        <w:rPr>
          <w:rFonts w:ascii="Verdana" w:eastAsia="Times New Roman" w:hAnsi="Verdana" w:cs="Arial"/>
          <w:sz w:val="18"/>
          <w:szCs w:val="18"/>
          <w:lang w:eastAsia="fr-FR"/>
        </w:rPr>
        <w:t>.</w:t>
      </w:r>
    </w:p>
    <w:p w:rsidR="007C7B90" w:rsidRPr="006128AE" w:rsidRDefault="00FB491C" w:rsidP="00A1313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lastRenderedPageBreak/>
        <w:t>1</w:t>
      </w:r>
      <w:r w:rsidR="00F86CC6"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3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7C7B90" w:rsidRPr="006128AE">
        <w:rPr>
          <w:rFonts w:ascii="Verdana" w:eastAsia="Times New Roman" w:hAnsi="Verdana" w:cs="Arial"/>
          <w:sz w:val="18"/>
          <w:szCs w:val="18"/>
          <w:lang w:eastAsia="fr-FR"/>
        </w:rPr>
        <w:t>Je-li s investičním nástrojem spojen tento typ lhůty, specifikujte ji (např. “</w:t>
      </w:r>
      <w:r w:rsidR="007C7B90" w:rsidRPr="006128AE">
        <w:rPr>
          <w:rFonts w:ascii="Verdana" w:eastAsia="Times New Roman" w:hAnsi="Verdana" w:cs="Arial"/>
          <w:i/>
          <w:sz w:val="18"/>
          <w:szCs w:val="18"/>
          <w:lang w:eastAsia="fr-FR"/>
        </w:rPr>
        <w:t>jednou za tři měsíce</w:t>
      </w:r>
      <w:r w:rsidR="001C46B9" w:rsidRPr="006128AE">
        <w:rPr>
          <w:rFonts w:ascii="Verdana" w:eastAsia="Times New Roman" w:hAnsi="Verdana" w:cs="Arial"/>
          <w:i/>
          <w:sz w:val="18"/>
          <w:szCs w:val="18"/>
          <w:lang w:eastAsia="fr-FR"/>
        </w:rPr>
        <w:t xml:space="preserve"> od [datum]</w:t>
      </w:r>
      <w:r w:rsidR="007C7B90" w:rsidRPr="006128AE">
        <w:rPr>
          <w:rFonts w:ascii="Verdana" w:eastAsia="Times New Roman" w:hAnsi="Verdana" w:cs="Arial"/>
          <w:sz w:val="18"/>
          <w:szCs w:val="18"/>
          <w:lang w:eastAsia="fr-FR"/>
        </w:rPr>
        <w:t>”).</w:t>
      </w:r>
    </w:p>
    <w:p w:rsidR="00B52ABC" w:rsidRPr="006128AE" w:rsidRDefault="00FB491C" w:rsidP="00A1313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486A5B"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4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B52ABC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V případě investičních nástrojů s </w:t>
      </w:r>
      <w:r w:rsidR="0058591E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výlučně </w:t>
      </w:r>
      <w:r w:rsidR="00B52ABC" w:rsidRPr="006128AE">
        <w:rPr>
          <w:rFonts w:ascii="Verdana" w:eastAsia="Times New Roman" w:hAnsi="Verdana" w:cs="Arial"/>
          <w:sz w:val="18"/>
          <w:szCs w:val="18"/>
          <w:lang w:eastAsia="fr-FR"/>
        </w:rPr>
        <w:t>peněžním vypořádáním se uvede počet hlasovacích práv i</w:t>
      </w:r>
      <w:r w:rsidR="001A233D">
        <w:rPr>
          <w:rFonts w:ascii="Verdana" w:eastAsia="Times New Roman" w:hAnsi="Verdana" w:cs="Arial"/>
          <w:sz w:val="18"/>
          <w:szCs w:val="18"/>
          <w:lang w:eastAsia="fr-FR"/>
        </w:rPr>
        <w:t> </w:t>
      </w:r>
      <w:r w:rsidR="00B52ABC" w:rsidRPr="006128AE">
        <w:rPr>
          <w:rFonts w:ascii="Verdana" w:eastAsia="Times New Roman" w:hAnsi="Verdana" w:cs="Arial"/>
          <w:sz w:val="18"/>
          <w:szCs w:val="18"/>
          <w:lang w:eastAsia="fr-FR"/>
        </w:rPr>
        <w:t>procentuální podíl na základě zohlednění hodnoty delta těchto investičních nástrojů [čl. 13 (1a) Transparenční směrnice 2004/109/ES a nařízení Komise (EU) 2015/761].</w:t>
      </w:r>
    </w:p>
    <w:p w:rsidR="009340F2" w:rsidRPr="006128AE" w:rsidRDefault="000E1676" w:rsidP="00A1313B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E83695"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5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0D098F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Je-li osoba podléhající oznamovací povinnosti ovládána </w:t>
      </w:r>
      <w:r w:rsidR="00120D1B">
        <w:rPr>
          <w:rFonts w:ascii="Verdana" w:eastAsia="Times New Roman" w:hAnsi="Verdana" w:cs="Arial"/>
          <w:sz w:val="18"/>
          <w:szCs w:val="18"/>
          <w:lang w:eastAsia="fr-FR"/>
        </w:rPr>
        <w:t>a</w:t>
      </w:r>
      <w:r w:rsidR="00604CA7">
        <w:rPr>
          <w:rFonts w:ascii="Verdana" w:eastAsia="Times New Roman" w:hAnsi="Verdana" w:cs="Arial"/>
          <w:sz w:val="18"/>
          <w:szCs w:val="18"/>
          <w:lang w:eastAsia="fr-FR"/>
        </w:rPr>
        <w:t>/</w:t>
      </w:r>
      <w:r w:rsidR="000D098F" w:rsidRPr="006128AE">
        <w:rPr>
          <w:rFonts w:ascii="Verdana" w:eastAsia="Times New Roman" w:hAnsi="Verdana" w:cs="Arial"/>
          <w:sz w:val="18"/>
          <w:szCs w:val="18"/>
          <w:lang w:eastAsia="fr-FR"/>
        </w:rPr>
        <w:t>nebo sama ovládá jinou osobu, uplatní se druhá možnost.</w:t>
      </w:r>
    </w:p>
    <w:p w:rsidR="00157599" w:rsidRPr="006128AE" w:rsidRDefault="00157599" w:rsidP="00A1313B">
      <w:pPr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120D1B"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6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Úplný řetězec </w:t>
      </w:r>
      <w:r w:rsidR="0046691E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ovládajících a 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>ovládaných osob počínaje nejvýše postavenou ovládající osobou se uvádí i</w:t>
      </w:r>
      <w:r w:rsidR="008911F6">
        <w:rPr>
          <w:rFonts w:ascii="Verdana" w:eastAsia="Times New Roman" w:hAnsi="Verdana" w:cs="Arial"/>
          <w:sz w:val="18"/>
          <w:szCs w:val="18"/>
          <w:lang w:eastAsia="fr-FR"/>
        </w:rPr>
        <w:t> 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>v</w:t>
      </w:r>
      <w:r w:rsidR="008911F6">
        <w:rPr>
          <w:rFonts w:ascii="Verdana" w:eastAsia="Times New Roman" w:hAnsi="Verdana" w:cs="Arial"/>
          <w:sz w:val="18"/>
          <w:szCs w:val="18"/>
          <w:lang w:eastAsia="fr-FR"/>
        </w:rPr>
        <w:t> 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případech, kdy ke vzniku oznamovací povinnosti dojde pouze na úrovni ovládané osoby, neboť jedině tak získají účastníci trhu úplnou představu o podílech dané skupiny. </w:t>
      </w:r>
      <w:r w:rsidR="0057172E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Jsou-li hlasovací práva a/nebo investiční nástroje drženy prostřednictvím několika řetězců, je třeba uvést každý z nich </w:t>
      </w:r>
      <w:r w:rsidR="00A00E46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zvlášť a oddělit je od sebe </w:t>
      </w:r>
      <w:r w:rsidR="0057172E" w:rsidRPr="006128AE">
        <w:rPr>
          <w:rFonts w:ascii="Verdana" w:eastAsia="Times New Roman" w:hAnsi="Verdana" w:cs="Arial"/>
          <w:sz w:val="18"/>
          <w:szCs w:val="18"/>
          <w:lang w:eastAsia="fr-FR"/>
        </w:rPr>
        <w:t>vynecháním volného řádku (např. A, B, C - volný řádek; A, B, D - volný řádek; A, E, F atd.).</w:t>
      </w:r>
    </w:p>
    <w:p w:rsidR="00CF1D0D" w:rsidRPr="006128AE" w:rsidRDefault="00CA6413" w:rsidP="00A1313B">
      <w:pPr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6C04BA"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7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>Názvy ovládaných osob</w:t>
      </w:r>
      <w:r w:rsidR="00E91A71">
        <w:rPr>
          <w:rFonts w:ascii="Verdana" w:eastAsia="Times New Roman" w:hAnsi="Verdana" w:cs="Arial"/>
          <w:sz w:val="18"/>
          <w:szCs w:val="18"/>
          <w:lang w:eastAsia="fr-FR"/>
        </w:rPr>
        <w:t>, jejichž prostřednictvím se započítávají hlasovací práva,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se uvedou </w:t>
      </w:r>
      <w:r w:rsidR="005664CE">
        <w:rPr>
          <w:rFonts w:ascii="Verdana" w:eastAsia="Times New Roman" w:hAnsi="Verdana" w:cs="Arial"/>
          <w:sz w:val="18"/>
          <w:szCs w:val="18"/>
          <w:lang w:eastAsia="fr-FR"/>
        </w:rPr>
        <w:t>vždy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, </w:t>
      </w:r>
      <w:r w:rsidR="005664CE">
        <w:rPr>
          <w:rFonts w:ascii="Verdana" w:eastAsia="Times New Roman" w:hAnsi="Verdana" w:cs="Arial"/>
          <w:sz w:val="18"/>
          <w:szCs w:val="18"/>
          <w:lang w:eastAsia="fr-FR"/>
        </w:rPr>
        <w:t>přes</w:t>
      </w:r>
      <w:r w:rsidR="00D8764C">
        <w:rPr>
          <w:rFonts w:ascii="Verdana" w:eastAsia="Times New Roman" w:hAnsi="Verdana" w:cs="Arial"/>
          <w:sz w:val="18"/>
          <w:szCs w:val="18"/>
          <w:lang w:eastAsia="fr-FR"/>
        </w:rPr>
        <w:t>t</w:t>
      </w:r>
      <w:r w:rsidR="005664CE">
        <w:rPr>
          <w:rFonts w:ascii="Verdana" w:eastAsia="Times New Roman" w:hAnsi="Verdana" w:cs="Arial"/>
          <w:sz w:val="18"/>
          <w:szCs w:val="18"/>
          <w:lang w:eastAsia="fr-FR"/>
        </w:rPr>
        <w:t>o</w:t>
      </w:r>
      <w:r w:rsidR="00D8764C">
        <w:rPr>
          <w:rFonts w:ascii="Verdana" w:eastAsia="Times New Roman" w:hAnsi="Verdana" w:cs="Arial"/>
          <w:sz w:val="18"/>
          <w:szCs w:val="18"/>
          <w:lang w:eastAsia="fr-FR"/>
        </w:rPr>
        <w:t>že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jejich podíl </w:t>
      </w:r>
      <w:r w:rsidR="00F221CF">
        <w:rPr>
          <w:rFonts w:ascii="Verdana" w:eastAsia="Times New Roman" w:hAnsi="Verdana" w:cs="Arial"/>
          <w:sz w:val="18"/>
          <w:szCs w:val="18"/>
          <w:lang w:eastAsia="fr-FR"/>
        </w:rPr>
        <w:t xml:space="preserve">v kolonce </w:t>
      </w:r>
      <w:r w:rsidR="005664CE">
        <w:rPr>
          <w:rFonts w:ascii="Verdana" w:eastAsia="Times New Roman" w:hAnsi="Verdana" w:cs="Arial"/>
          <w:sz w:val="18"/>
          <w:szCs w:val="18"/>
          <w:lang w:eastAsia="fr-FR"/>
        </w:rPr>
        <w:t>„</w:t>
      </w:r>
      <w:r w:rsidR="0046691E" w:rsidRPr="006128AE">
        <w:rPr>
          <w:rFonts w:ascii="Verdana" w:eastAsia="Times New Roman" w:hAnsi="Verdana" w:cs="Arial"/>
          <w:sz w:val="18"/>
          <w:szCs w:val="18"/>
          <w:lang w:eastAsia="fr-FR"/>
        </w:rPr>
        <w:t>Celkem v %</w:t>
      </w:r>
      <w:r w:rsidR="005664CE">
        <w:rPr>
          <w:rFonts w:ascii="Verdana" w:eastAsia="Times New Roman" w:hAnsi="Verdana" w:cs="Arial"/>
          <w:sz w:val="18"/>
          <w:szCs w:val="18"/>
          <w:lang w:eastAsia="fr-FR"/>
        </w:rPr>
        <w:t>“</w:t>
      </w:r>
      <w:r w:rsidR="0046691E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E91A71">
        <w:rPr>
          <w:rFonts w:ascii="Verdana" w:eastAsia="Times New Roman" w:hAnsi="Verdana" w:cs="Arial"/>
          <w:sz w:val="18"/>
          <w:szCs w:val="18"/>
          <w:lang w:eastAsia="fr-FR"/>
        </w:rPr>
        <w:t xml:space="preserve">v posledním sloupci položky č. 8 </w:t>
      </w:r>
      <w:r w:rsidR="00BE2BC0">
        <w:rPr>
          <w:rFonts w:ascii="Verdana" w:eastAsia="Times New Roman" w:hAnsi="Verdana" w:cs="Arial"/>
          <w:sz w:val="18"/>
          <w:szCs w:val="18"/>
          <w:lang w:eastAsia="fr-FR"/>
        </w:rPr>
        <w:t>leží pod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nejnižší hranic</w:t>
      </w:r>
      <w:r w:rsidR="00BE2BC0">
        <w:rPr>
          <w:rFonts w:ascii="Verdana" w:eastAsia="Times New Roman" w:hAnsi="Verdana" w:cs="Arial"/>
          <w:sz w:val="18"/>
          <w:szCs w:val="18"/>
          <w:lang w:eastAsia="fr-FR"/>
        </w:rPr>
        <w:t>í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pro vznik oznamovací povinnosti.</w:t>
      </w:r>
    </w:p>
    <w:p w:rsidR="009340F2" w:rsidRPr="006128AE" w:rsidRDefault="00CF1D0D" w:rsidP="00A1313B">
      <w:pPr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fr-FR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075ECB"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8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Tento a předchozí</w:t>
      </w:r>
      <w:r w:rsidR="00A1313B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dva sloupce </w:t>
      </w:r>
      <w:r w:rsidR="00807D05">
        <w:rPr>
          <w:rFonts w:ascii="Verdana" w:eastAsia="Times New Roman" w:hAnsi="Verdana" w:cs="Arial"/>
          <w:sz w:val="18"/>
          <w:szCs w:val="18"/>
          <w:lang w:eastAsia="fr-FR"/>
        </w:rPr>
        <w:t>není třeba vyplnit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, pokud podíl </w:t>
      </w:r>
      <w:r w:rsidR="00F221CF">
        <w:rPr>
          <w:rFonts w:ascii="Verdana" w:eastAsia="Times New Roman" w:hAnsi="Verdana" w:cs="Arial"/>
          <w:sz w:val="18"/>
          <w:szCs w:val="18"/>
          <w:lang w:eastAsia="fr-FR"/>
        </w:rPr>
        <w:t>v kolonce „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>Celkem v %</w:t>
      </w:r>
      <w:r w:rsidR="00F221CF">
        <w:rPr>
          <w:rFonts w:ascii="Verdana" w:eastAsia="Times New Roman" w:hAnsi="Verdana" w:cs="Arial"/>
          <w:sz w:val="18"/>
          <w:szCs w:val="18"/>
          <w:lang w:eastAsia="fr-FR"/>
        </w:rPr>
        <w:t>“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227348">
        <w:rPr>
          <w:rFonts w:ascii="Verdana" w:eastAsia="Times New Roman" w:hAnsi="Verdana" w:cs="Arial"/>
          <w:sz w:val="18"/>
          <w:szCs w:val="18"/>
          <w:lang w:eastAsia="fr-FR"/>
        </w:rPr>
        <w:t xml:space="preserve">v položce č. 8 </w:t>
      </w:r>
      <w:r w:rsidR="00807D05">
        <w:rPr>
          <w:rFonts w:ascii="Verdana" w:eastAsia="Times New Roman" w:hAnsi="Verdana" w:cs="Arial"/>
          <w:sz w:val="18"/>
          <w:szCs w:val="18"/>
          <w:lang w:eastAsia="fr-FR"/>
        </w:rPr>
        <w:t xml:space="preserve">leží pod 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>nejnižší hranic</w:t>
      </w:r>
      <w:r w:rsidR="00807D05">
        <w:rPr>
          <w:rFonts w:ascii="Verdana" w:eastAsia="Times New Roman" w:hAnsi="Verdana" w:cs="Arial"/>
          <w:sz w:val="18"/>
          <w:szCs w:val="18"/>
          <w:lang w:eastAsia="fr-FR"/>
        </w:rPr>
        <w:t>í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pro vznik oznamovací povinnost</w:t>
      </w:r>
      <w:r w:rsidR="0046691E" w:rsidRPr="006128AE">
        <w:rPr>
          <w:rFonts w:ascii="Verdana" w:eastAsia="Times New Roman" w:hAnsi="Verdana" w:cs="Arial"/>
          <w:sz w:val="18"/>
          <w:szCs w:val="18"/>
          <w:lang w:eastAsia="fr-FR"/>
        </w:rPr>
        <w:t>i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. </w:t>
      </w:r>
    </w:p>
    <w:p w:rsidR="009340F2" w:rsidRPr="006128AE" w:rsidRDefault="005F37A9" w:rsidP="00A1313B">
      <w:pPr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de-DE"/>
        </w:rPr>
      </w:pPr>
      <w:r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1</w:t>
      </w:r>
      <w:r w:rsidR="005B2DF9" w:rsidRPr="00A1313B">
        <w:rPr>
          <w:rFonts w:ascii="Verdana" w:eastAsia="Times New Roman" w:hAnsi="Verdana" w:cs="Arial"/>
          <w:b/>
          <w:sz w:val="18"/>
          <w:szCs w:val="18"/>
          <w:vertAlign w:val="superscript"/>
          <w:lang w:eastAsia="fr-FR"/>
        </w:rPr>
        <w:t>9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Pr="006128AE">
        <w:rPr>
          <w:rFonts w:ascii="Verdana" w:eastAsia="Times New Roman" w:hAnsi="Verdana" w:cs="Arial"/>
          <w:sz w:val="18"/>
          <w:szCs w:val="18"/>
          <w:lang w:eastAsia="fr-FR"/>
        </w:rPr>
        <w:t>Např. oprava předchozího oznámení</w:t>
      </w:r>
      <w:r w:rsidR="009340F2" w:rsidRPr="006128AE">
        <w:rPr>
          <w:rFonts w:ascii="Verdana" w:eastAsia="Times New Roman" w:hAnsi="Verdana" w:cs="Arial"/>
          <w:sz w:val="18"/>
          <w:szCs w:val="18"/>
          <w:lang w:eastAsia="fr-FR"/>
        </w:rPr>
        <w:t>.</w:t>
      </w:r>
    </w:p>
    <w:p w:rsidR="009340F2" w:rsidRPr="006128AE" w:rsidRDefault="009340F2" w:rsidP="009340F2">
      <w:pPr>
        <w:spacing w:after="120" w:line="264" w:lineRule="auto"/>
        <w:jc w:val="both"/>
        <w:rPr>
          <w:rFonts w:ascii="Verdana" w:eastAsia="Times New Roman" w:hAnsi="Verdana" w:cs="Arial"/>
          <w:b/>
          <w:sz w:val="18"/>
          <w:szCs w:val="18"/>
          <w:lang w:eastAsia="de-DE"/>
        </w:rPr>
      </w:pPr>
    </w:p>
    <w:p w:rsidR="00AB69A6" w:rsidRDefault="00AB69A6" w:rsidP="00AB69A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de-DE"/>
        </w:rPr>
      </w:pPr>
      <w:r w:rsidRPr="00AB69A6">
        <w:rPr>
          <w:rFonts w:ascii="Verdana" w:eastAsia="Times New Roman" w:hAnsi="Verdana" w:cs="Arial"/>
          <w:sz w:val="18"/>
          <w:szCs w:val="18"/>
          <w:lang w:eastAsia="de-DE"/>
        </w:rPr>
        <w:t>V případě dotazů se obracejte na:</w:t>
      </w:r>
      <w:r>
        <w:rPr>
          <w:rFonts w:ascii="Verdana" w:eastAsia="Times New Roman" w:hAnsi="Verdana" w:cs="Arial"/>
          <w:sz w:val="18"/>
          <w:szCs w:val="18"/>
          <w:lang w:eastAsia="de-DE"/>
        </w:rPr>
        <w:tab/>
      </w:r>
      <w:r w:rsidRPr="00FD3A09">
        <w:rPr>
          <w:rFonts w:ascii="Verdana" w:eastAsia="Times New Roman" w:hAnsi="Verdana" w:cs="Arial"/>
          <w:sz w:val="18"/>
          <w:szCs w:val="18"/>
          <w:lang w:eastAsia="de-DE"/>
        </w:rPr>
        <w:t>Tomáš Himl (</w:t>
      </w:r>
      <w:hyperlink r:id="rId12" w:history="1">
        <w:r w:rsidRPr="00FD3A09">
          <w:rPr>
            <w:rStyle w:val="Hypertextovodkaz"/>
            <w:rFonts w:ascii="Verdana" w:eastAsia="Times New Roman" w:hAnsi="Verdana" w:cs="Arial"/>
            <w:sz w:val="18"/>
            <w:szCs w:val="18"/>
            <w:lang w:eastAsia="de-DE"/>
          </w:rPr>
          <w:t>toma</w:t>
        </w:r>
        <w:r w:rsidRPr="00FD3A09">
          <w:rPr>
            <w:rStyle w:val="Hypertextovodkaz"/>
            <w:rFonts w:ascii="Verdana" w:eastAsia="Times New Roman" w:hAnsi="Verdana" w:cs="Arial"/>
            <w:sz w:val="18"/>
            <w:szCs w:val="18"/>
            <w:lang w:val="en-US" w:eastAsia="de-DE"/>
          </w:rPr>
          <w:t>s.himl@cnb.cz</w:t>
        </w:r>
      </w:hyperlink>
      <w:r w:rsidRPr="00FD3A09">
        <w:rPr>
          <w:rFonts w:ascii="Verdana" w:eastAsia="Times New Roman" w:hAnsi="Verdana" w:cs="Arial"/>
          <w:sz w:val="18"/>
          <w:szCs w:val="18"/>
          <w:lang w:val="en-US" w:eastAsia="de-DE"/>
        </w:rPr>
        <w:t>,</w:t>
      </w:r>
      <w:r>
        <w:rPr>
          <w:rFonts w:ascii="Verdana" w:eastAsia="Times New Roman" w:hAnsi="Verdana" w:cs="Arial"/>
          <w:sz w:val="18"/>
          <w:szCs w:val="18"/>
          <w:lang w:val="en-US" w:eastAsia="de-DE"/>
        </w:rPr>
        <w:t xml:space="preserve"> </w:t>
      </w:r>
      <w:r w:rsidRPr="00FD3A09">
        <w:rPr>
          <w:rFonts w:ascii="Verdana" w:eastAsia="Times New Roman" w:hAnsi="Verdana" w:cs="Arial"/>
          <w:sz w:val="18"/>
          <w:szCs w:val="18"/>
          <w:lang w:val="en-US" w:eastAsia="de-DE"/>
        </w:rPr>
        <w:t>+420 224 412</w:t>
      </w:r>
      <w:r>
        <w:rPr>
          <w:rFonts w:ascii="Verdana" w:eastAsia="Times New Roman" w:hAnsi="Verdana" w:cs="Arial"/>
          <w:sz w:val="18"/>
          <w:szCs w:val="18"/>
          <w:lang w:val="en-US" w:eastAsia="de-DE"/>
        </w:rPr>
        <w:t> </w:t>
      </w:r>
      <w:r w:rsidRPr="00FD3A09">
        <w:rPr>
          <w:rFonts w:ascii="Verdana" w:eastAsia="Times New Roman" w:hAnsi="Verdana" w:cs="Arial"/>
          <w:sz w:val="18"/>
          <w:szCs w:val="18"/>
          <w:lang w:val="en-US" w:eastAsia="de-DE"/>
        </w:rPr>
        <w:t>532</w:t>
      </w:r>
      <w:r w:rsidRPr="00FD3A09">
        <w:rPr>
          <w:rFonts w:ascii="Verdana" w:eastAsia="Times New Roman" w:hAnsi="Verdana" w:cs="Arial"/>
          <w:sz w:val="18"/>
          <w:szCs w:val="18"/>
          <w:lang w:eastAsia="de-DE"/>
        </w:rPr>
        <w:t>)</w:t>
      </w:r>
    </w:p>
    <w:p w:rsidR="00AB69A6" w:rsidRPr="00FD3A09" w:rsidRDefault="00AB69A6" w:rsidP="00AB69A6">
      <w:pPr>
        <w:spacing w:after="120" w:line="240" w:lineRule="auto"/>
        <w:ind w:left="2832" w:firstLine="708"/>
        <w:jc w:val="both"/>
        <w:rPr>
          <w:rFonts w:ascii="Verdana" w:eastAsia="Times New Roman" w:hAnsi="Verdana" w:cs="Arial"/>
          <w:b/>
          <w:sz w:val="18"/>
          <w:szCs w:val="18"/>
          <w:lang w:eastAsia="de-DE"/>
        </w:rPr>
      </w:pPr>
      <w:r w:rsidRPr="00FD3A09">
        <w:rPr>
          <w:rFonts w:ascii="Verdana" w:eastAsia="Times New Roman" w:hAnsi="Verdana" w:cs="Arial"/>
          <w:sz w:val="18"/>
          <w:szCs w:val="18"/>
          <w:lang w:eastAsia="de-DE"/>
        </w:rPr>
        <w:t>Libor Mocek (</w:t>
      </w:r>
      <w:hyperlink r:id="rId13" w:history="1">
        <w:r w:rsidRPr="00057883">
          <w:rPr>
            <w:rStyle w:val="Hypertextovodkaz"/>
            <w:rFonts w:ascii="Verdana" w:eastAsia="Times New Roman" w:hAnsi="Verdana" w:cs="Arial"/>
            <w:sz w:val="18"/>
            <w:szCs w:val="18"/>
            <w:lang w:eastAsia="de-DE"/>
          </w:rPr>
          <w:t>libor.mocek</w:t>
        </w:r>
        <w:r w:rsidRPr="00057883">
          <w:rPr>
            <w:rStyle w:val="Hypertextovodkaz"/>
            <w:rFonts w:ascii="Verdana" w:eastAsia="Times New Roman" w:hAnsi="Verdana" w:cs="Arial"/>
            <w:sz w:val="18"/>
            <w:szCs w:val="18"/>
            <w:lang w:val="en-US" w:eastAsia="de-DE"/>
          </w:rPr>
          <w:t>@cnb.cz</w:t>
        </w:r>
      </w:hyperlink>
      <w:r w:rsidRPr="00FD3A09">
        <w:rPr>
          <w:rFonts w:ascii="Verdana" w:eastAsia="Times New Roman" w:hAnsi="Verdana" w:cs="Arial"/>
          <w:sz w:val="18"/>
          <w:szCs w:val="18"/>
          <w:lang w:val="en-US" w:eastAsia="de-DE"/>
        </w:rPr>
        <w:t>,</w:t>
      </w:r>
      <w:r>
        <w:rPr>
          <w:rFonts w:ascii="Verdana" w:eastAsia="Times New Roman" w:hAnsi="Verdana" w:cs="Arial"/>
          <w:sz w:val="18"/>
          <w:szCs w:val="18"/>
          <w:lang w:val="en-US" w:eastAsia="de-DE"/>
        </w:rPr>
        <w:t xml:space="preserve"> </w:t>
      </w:r>
      <w:r w:rsidRPr="00FD3A09">
        <w:rPr>
          <w:rFonts w:ascii="Verdana" w:eastAsia="Times New Roman" w:hAnsi="Verdana" w:cs="Arial"/>
          <w:sz w:val="18"/>
          <w:szCs w:val="18"/>
          <w:lang w:val="en-US" w:eastAsia="de-DE"/>
        </w:rPr>
        <w:t>+420 224 412</w:t>
      </w:r>
      <w:r>
        <w:rPr>
          <w:rFonts w:ascii="Verdana" w:eastAsia="Times New Roman" w:hAnsi="Verdana" w:cs="Arial"/>
          <w:sz w:val="18"/>
          <w:szCs w:val="18"/>
          <w:lang w:val="en-US" w:eastAsia="de-DE"/>
        </w:rPr>
        <w:t> </w:t>
      </w:r>
      <w:r w:rsidRPr="00FD3A09">
        <w:rPr>
          <w:rFonts w:ascii="Verdana" w:eastAsia="Times New Roman" w:hAnsi="Verdana" w:cs="Arial"/>
          <w:sz w:val="18"/>
          <w:szCs w:val="18"/>
          <w:lang w:val="en-US" w:eastAsia="de-DE"/>
        </w:rPr>
        <w:t>5</w:t>
      </w:r>
      <w:r>
        <w:rPr>
          <w:rFonts w:ascii="Verdana" w:eastAsia="Times New Roman" w:hAnsi="Verdana" w:cs="Arial"/>
          <w:sz w:val="18"/>
          <w:szCs w:val="18"/>
          <w:lang w:val="en-US" w:eastAsia="de-DE"/>
        </w:rPr>
        <w:t>28</w:t>
      </w:r>
      <w:r w:rsidRPr="00FD3A09">
        <w:rPr>
          <w:rFonts w:ascii="Verdana" w:eastAsia="Times New Roman" w:hAnsi="Verdana" w:cs="Arial"/>
          <w:sz w:val="18"/>
          <w:szCs w:val="18"/>
          <w:lang w:eastAsia="de-DE"/>
        </w:rPr>
        <w:t>)</w:t>
      </w:r>
    </w:p>
    <w:p w:rsidR="00E0650D" w:rsidRPr="006128AE" w:rsidRDefault="00E0650D">
      <w:pPr>
        <w:rPr>
          <w:rFonts w:ascii="Verdana" w:hAnsi="Verdana"/>
          <w:sz w:val="18"/>
          <w:szCs w:val="18"/>
        </w:rPr>
      </w:pPr>
    </w:p>
    <w:sectPr w:rsidR="00E0650D" w:rsidRPr="006128AE" w:rsidSect="00F0341D">
      <w:footnotePr>
        <w:numFmt w:val="lowerRoman"/>
      </w:footnotePr>
      <w:type w:val="continuous"/>
      <w:pgSz w:w="11906" w:h="16838" w:code="9"/>
      <w:pgMar w:top="1701" w:right="851" w:bottom="851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20" w:rsidRDefault="000B2220">
      <w:pPr>
        <w:spacing w:after="0" w:line="240" w:lineRule="auto"/>
      </w:pPr>
      <w:r>
        <w:separator/>
      </w:r>
    </w:p>
  </w:endnote>
  <w:endnote w:type="continuationSeparator" w:id="0">
    <w:p w:rsidR="000B2220" w:rsidRDefault="000B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</w:rPr>
      <w:id w:val="1659875853"/>
      <w:docPartObj>
        <w:docPartGallery w:val="Page Numbers (Bottom of Page)"/>
        <w:docPartUnique/>
      </w:docPartObj>
    </w:sdtPr>
    <w:sdtEndPr/>
    <w:sdtContent>
      <w:p w:rsidR="009B0C37" w:rsidRPr="009B0C37" w:rsidRDefault="009B0C37">
        <w:pPr>
          <w:pStyle w:val="Zpat"/>
          <w:jc w:val="center"/>
          <w:rPr>
            <w:rFonts w:ascii="Verdana" w:hAnsi="Verdana"/>
            <w:sz w:val="18"/>
          </w:rPr>
        </w:pPr>
        <w:r w:rsidRPr="009B0C37">
          <w:rPr>
            <w:rFonts w:ascii="Verdana" w:hAnsi="Verdana"/>
            <w:sz w:val="18"/>
          </w:rPr>
          <w:fldChar w:fldCharType="begin"/>
        </w:r>
        <w:r w:rsidRPr="009B0C37">
          <w:rPr>
            <w:rFonts w:ascii="Verdana" w:hAnsi="Verdana"/>
            <w:sz w:val="18"/>
          </w:rPr>
          <w:instrText>PAGE   \* MERGEFORMAT</w:instrText>
        </w:r>
        <w:r w:rsidRPr="009B0C37">
          <w:rPr>
            <w:rFonts w:ascii="Verdana" w:hAnsi="Verdana"/>
            <w:sz w:val="18"/>
          </w:rPr>
          <w:fldChar w:fldCharType="separate"/>
        </w:r>
        <w:r w:rsidR="00E212A6" w:rsidRPr="00E212A6">
          <w:rPr>
            <w:rFonts w:ascii="Verdana" w:hAnsi="Verdana"/>
            <w:noProof/>
            <w:sz w:val="18"/>
            <w:lang w:val="cs-CZ"/>
          </w:rPr>
          <w:t>3</w:t>
        </w:r>
        <w:r w:rsidRPr="009B0C37">
          <w:rPr>
            <w:rFonts w:ascii="Verdana" w:hAnsi="Verdana"/>
            <w:sz w:val="18"/>
          </w:rPr>
          <w:fldChar w:fldCharType="end"/>
        </w:r>
      </w:p>
    </w:sdtContent>
  </w:sdt>
  <w:p w:rsidR="003C4FD4" w:rsidRDefault="00E212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4" w:rsidRDefault="00B57E06">
    <w:pPr>
      <w:pStyle w:val="Zpat"/>
      <w:jc w:val="right"/>
    </w:pPr>
    <w:r w:rsidRPr="006202FB">
      <w:rPr>
        <w:sz w:val="20"/>
        <w:szCs w:val="20"/>
      </w:rPr>
      <w:fldChar w:fldCharType="begin"/>
    </w:r>
    <w:r w:rsidRPr="006202FB">
      <w:rPr>
        <w:sz w:val="20"/>
        <w:szCs w:val="20"/>
      </w:rPr>
      <w:instrText xml:space="preserve"> PAGE   \* MERGEFORMAT </w:instrText>
    </w:r>
    <w:r w:rsidRPr="006202FB">
      <w:rPr>
        <w:sz w:val="20"/>
        <w:szCs w:val="20"/>
      </w:rPr>
      <w:fldChar w:fldCharType="separate"/>
    </w:r>
    <w:r w:rsidR="00D1459D">
      <w:rPr>
        <w:noProof/>
        <w:sz w:val="20"/>
        <w:szCs w:val="20"/>
      </w:rPr>
      <w:t>1</w:t>
    </w:r>
    <w:r w:rsidRPr="006202FB">
      <w:rPr>
        <w:noProof/>
        <w:sz w:val="20"/>
        <w:szCs w:val="20"/>
      </w:rPr>
      <w:fldChar w:fldCharType="end"/>
    </w:r>
  </w:p>
  <w:p w:rsidR="003C4FD4" w:rsidRDefault="00E212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20" w:rsidRDefault="000B2220">
      <w:pPr>
        <w:spacing w:after="0" w:line="240" w:lineRule="auto"/>
      </w:pPr>
      <w:r>
        <w:separator/>
      </w:r>
    </w:p>
  </w:footnote>
  <w:footnote w:type="continuationSeparator" w:id="0">
    <w:p w:rsidR="000B2220" w:rsidRDefault="000B2220">
      <w:pPr>
        <w:spacing w:after="0" w:line="240" w:lineRule="auto"/>
      </w:pPr>
      <w:r>
        <w:continuationSeparator/>
      </w:r>
    </w:p>
  </w:footnote>
  <w:footnote w:id="1">
    <w:p w:rsidR="00A1313B" w:rsidRPr="001A233D" w:rsidRDefault="00A1313B" w:rsidP="001A233D">
      <w:pPr>
        <w:pStyle w:val="Textpoznpodarou"/>
        <w:ind w:left="-113"/>
        <w:jc w:val="both"/>
        <w:rPr>
          <w:rFonts w:ascii="Verdana" w:hAnsi="Verdana"/>
          <w:sz w:val="15"/>
          <w:szCs w:val="15"/>
        </w:rPr>
      </w:pPr>
      <w:r>
        <w:rPr>
          <w:rStyle w:val="Znakapoznpodarou"/>
        </w:rPr>
        <w:footnoteRef/>
      </w:r>
      <w:r w:rsidR="001A233D" w:rsidRPr="001A233D">
        <w:rPr>
          <w:rFonts w:ascii="Verdana" w:hAnsi="Verdana"/>
          <w:sz w:val="15"/>
          <w:szCs w:val="15"/>
        </w:rPr>
        <w:t> </w:t>
      </w:r>
      <w:hyperlink r:id="rId1" w:history="1">
        <w:r w:rsidRPr="001A233D">
          <w:rPr>
            <w:rStyle w:val="Hypertextovodkaz"/>
            <w:rFonts w:ascii="Verdana" w:hAnsi="Verdana"/>
            <w:sz w:val="15"/>
            <w:szCs w:val="15"/>
          </w:rPr>
          <w:t>https://www.esma.europa.eu/databases-library/esma-library?f%5B0%5D=im_esma_sections%3A13</w:t>
        </w:r>
      </w:hyperlink>
      <w:r w:rsidRPr="001A233D">
        <w:rPr>
          <w:rStyle w:val="Hypertextovodkaz"/>
          <w:rFonts w:ascii="Verdana" w:hAnsi="Verdana"/>
          <w:sz w:val="15"/>
          <w:szCs w:val="15"/>
        </w:rPr>
        <w:t xml:space="preserve"> </w:t>
      </w:r>
    </w:p>
  </w:footnote>
  <w:footnote w:id="2">
    <w:p w:rsidR="007929C4" w:rsidRPr="00F0341D" w:rsidRDefault="007929C4" w:rsidP="00F0341D">
      <w:pPr>
        <w:pStyle w:val="Textpoznpodarou"/>
        <w:ind w:left="-113"/>
        <w:jc w:val="both"/>
        <w:rPr>
          <w:rFonts w:ascii="Verdana" w:hAnsi="Verdana" w:cs="Times New Roman"/>
          <w:sz w:val="15"/>
          <w:szCs w:val="15"/>
        </w:rPr>
      </w:pPr>
      <w:r>
        <w:rPr>
          <w:rStyle w:val="Znakapoznpodarou"/>
        </w:rPr>
        <w:footnoteRef/>
      </w:r>
      <w:r w:rsidR="001A233D">
        <w:rPr>
          <w:rFonts w:ascii="Verdana" w:hAnsi="Verdana" w:cs="Times New Roman"/>
          <w:sz w:val="15"/>
          <w:szCs w:val="15"/>
        </w:rPr>
        <w:t> </w:t>
      </w:r>
      <w:hyperlink r:id="rId2" w:history="1">
        <w:r w:rsidR="00E212A6" w:rsidRPr="00CE666B">
          <w:rPr>
            <w:rStyle w:val="Hypertextovodkaz"/>
            <w:rFonts w:ascii="Verdana" w:hAnsi="Verdana" w:cs="Times New Roman"/>
            <w:sz w:val="15"/>
            <w:szCs w:val="15"/>
          </w:rPr>
          <w:t>https://www.cnb.cz/cs/dohled-financni-trh/informace-zverejnovane-emitenty/</w:t>
        </w:r>
      </w:hyperlink>
      <w:r w:rsidR="00E212A6">
        <w:rPr>
          <w:rFonts w:ascii="Verdana" w:hAnsi="Verdana" w:cs="Times New Roman"/>
          <w:sz w:val="15"/>
          <w:szCs w:val="15"/>
        </w:rPr>
        <w:t xml:space="preserve"> </w:t>
      </w:r>
    </w:p>
  </w:footnote>
  <w:footnote w:id="3">
    <w:p w:rsidR="007929C4" w:rsidRDefault="007929C4" w:rsidP="00F0341D">
      <w:pPr>
        <w:pStyle w:val="Textpoznpodarou"/>
        <w:ind w:left="-113"/>
        <w:jc w:val="both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="00E212A6" w:rsidRPr="00CE666B">
          <w:rPr>
            <w:rStyle w:val="Hypertextovodkaz"/>
            <w:rFonts w:ascii="Verdana" w:hAnsi="Verdana"/>
            <w:sz w:val="15"/>
            <w:szCs w:val="15"/>
          </w:rPr>
          <w:t>https://www.cnb.cz/cs/dohled-financni-trh/vykon-dohledu/informacni-povinnosti/informacni-povinnost-emitentu-cennych-papiru-a-dalsich-osob-vuci-ceske-narodni-bance/</w:t>
        </w:r>
      </w:hyperlink>
      <w:r w:rsidR="00E212A6">
        <w:rPr>
          <w:rFonts w:ascii="Verdana" w:hAnsi="Verdana"/>
          <w:sz w:val="15"/>
          <w:szCs w:val="15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5C" w:rsidRDefault="009B0C37" w:rsidP="0084725C">
    <w:pPr>
      <w:pStyle w:val="Zhlav"/>
      <w:jc w:val="right"/>
      <w:rPr>
        <w:b/>
        <w:color w:val="FF0000"/>
      </w:rPr>
    </w:pPr>
    <w:r w:rsidRPr="00082862">
      <w:rPr>
        <w:rFonts w:ascii="Verdana" w:hAnsi="Verdana"/>
        <w:b/>
        <w:noProof/>
        <w:color w:val="7F7F7F" w:themeColor="text1" w:themeTint="80"/>
        <w:lang w:val="cs-CZ" w:eastAsia="cs-CZ"/>
      </w:rPr>
      <w:drawing>
        <wp:anchor distT="0" distB="0" distL="114300" distR="114300" simplePos="0" relativeHeight="251658240" behindDoc="1" locked="0" layoutInCell="1" allowOverlap="1" wp14:anchorId="3DCE5AA4" wp14:editId="30781C92">
          <wp:simplePos x="0" y="0"/>
          <wp:positionH relativeFrom="column">
            <wp:posOffset>-162560</wp:posOffset>
          </wp:positionH>
          <wp:positionV relativeFrom="paragraph">
            <wp:posOffset>-175895</wp:posOffset>
          </wp:positionV>
          <wp:extent cx="2292985" cy="370205"/>
          <wp:effectExtent l="0" t="0" r="0" b="0"/>
          <wp:wrapTight wrapText="bothSides">
            <wp:wrapPolygon edited="0">
              <wp:start x="0" y="0"/>
              <wp:lineTo x="0" y="20007"/>
              <wp:lineTo x="21355" y="20007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rc_jpg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8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76A47" w:rsidRPr="00082862">
      <w:rPr>
        <w:rFonts w:ascii="Verdana" w:hAnsi="Verdana"/>
        <w:b/>
        <w:color w:val="7F7F7F" w:themeColor="text1" w:themeTint="80"/>
        <w:sz w:val="18"/>
      </w:rPr>
      <w:t>Oznámení</w:t>
    </w:r>
    <w:proofErr w:type="spellEnd"/>
    <w:r w:rsidR="00176A47" w:rsidRPr="00082862">
      <w:rPr>
        <w:rFonts w:ascii="Verdana" w:hAnsi="Verdana"/>
        <w:b/>
        <w:color w:val="7F7F7F" w:themeColor="text1" w:themeTint="80"/>
        <w:sz w:val="18"/>
      </w:rPr>
      <w:t xml:space="preserve"> </w:t>
    </w:r>
    <w:proofErr w:type="spellStart"/>
    <w:r w:rsidR="00176A47" w:rsidRPr="00082862">
      <w:rPr>
        <w:rFonts w:ascii="Verdana" w:hAnsi="Verdana"/>
        <w:b/>
        <w:color w:val="7F7F7F" w:themeColor="text1" w:themeTint="80"/>
        <w:sz w:val="18"/>
      </w:rPr>
      <w:t>podílu</w:t>
    </w:r>
    <w:proofErr w:type="spellEnd"/>
    <w:r w:rsidR="00176A47" w:rsidRPr="00082862">
      <w:rPr>
        <w:rFonts w:ascii="Verdana" w:hAnsi="Verdana"/>
        <w:b/>
        <w:color w:val="7F7F7F" w:themeColor="text1" w:themeTint="80"/>
        <w:sz w:val="18"/>
      </w:rPr>
      <w:t xml:space="preserve"> </w:t>
    </w:r>
    <w:proofErr w:type="spellStart"/>
    <w:r w:rsidR="00176A47" w:rsidRPr="00082862">
      <w:rPr>
        <w:rFonts w:ascii="Verdana" w:hAnsi="Verdana"/>
        <w:b/>
        <w:color w:val="7F7F7F" w:themeColor="text1" w:themeTint="80"/>
        <w:sz w:val="18"/>
      </w:rPr>
      <w:t>na</w:t>
    </w:r>
    <w:proofErr w:type="spellEnd"/>
    <w:r w:rsidR="00176A47" w:rsidRPr="00082862">
      <w:rPr>
        <w:rFonts w:ascii="Verdana" w:hAnsi="Verdana"/>
        <w:b/>
        <w:color w:val="7F7F7F" w:themeColor="text1" w:themeTint="80"/>
        <w:sz w:val="18"/>
      </w:rPr>
      <w:t xml:space="preserve"> </w:t>
    </w:r>
    <w:proofErr w:type="spellStart"/>
    <w:r w:rsidR="00176A47" w:rsidRPr="00082862">
      <w:rPr>
        <w:rFonts w:ascii="Verdana" w:hAnsi="Verdana"/>
        <w:b/>
        <w:color w:val="7F7F7F" w:themeColor="text1" w:themeTint="80"/>
        <w:sz w:val="18"/>
      </w:rPr>
      <w:t>hlasovacích</w:t>
    </w:r>
    <w:proofErr w:type="spellEnd"/>
    <w:r w:rsidR="00176A47" w:rsidRPr="00082862">
      <w:rPr>
        <w:rFonts w:ascii="Verdana" w:hAnsi="Verdana"/>
        <w:b/>
        <w:color w:val="7F7F7F" w:themeColor="text1" w:themeTint="80"/>
        <w:sz w:val="18"/>
      </w:rPr>
      <w:t xml:space="preserve"> </w:t>
    </w:r>
    <w:proofErr w:type="spellStart"/>
    <w:r w:rsidR="00176A47" w:rsidRPr="00082862">
      <w:rPr>
        <w:rFonts w:ascii="Verdana" w:hAnsi="Verdana"/>
        <w:b/>
        <w:color w:val="7F7F7F" w:themeColor="text1" w:themeTint="80"/>
        <w:sz w:val="18"/>
      </w:rPr>
      <w:t>právech</w:t>
    </w:r>
    <w:proofErr w:type="spellEnd"/>
  </w:p>
  <w:p w:rsidR="003C4FD4" w:rsidRPr="0084725C" w:rsidRDefault="00B57E06" w:rsidP="003C43F8">
    <w:pPr>
      <w:pStyle w:val="Zhlav"/>
      <w:tabs>
        <w:tab w:val="left" w:pos="1127"/>
        <w:tab w:val="right" w:pos="9412"/>
      </w:tabs>
      <w:rPr>
        <w:rFonts w:ascii="Arial" w:hAnsi="Arial" w:cs="Arial"/>
        <w:sz w:val="20"/>
      </w:rPr>
    </w:pPr>
    <w:r>
      <w:rPr>
        <w:rFonts w:ascii="Arial" w:hAnsi="Arial" w:cs="Arial"/>
        <w:color w:val="FF0000"/>
        <w:sz w:val="20"/>
      </w:rPr>
      <w:tab/>
    </w:r>
    <w:r>
      <w:rPr>
        <w:rFonts w:ascii="Arial" w:hAnsi="Arial" w:cs="Arial"/>
        <w:color w:val="FF0000"/>
        <w:sz w:val="20"/>
      </w:rPr>
      <w:tab/>
    </w:r>
    <w:r>
      <w:rPr>
        <w:rFonts w:ascii="Arial" w:hAnsi="Arial" w:cs="Arial"/>
        <w:color w:val="FF0000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37" w:rsidRPr="009B0C37" w:rsidRDefault="007A7B9D" w:rsidP="00D1459D">
    <w:pPr>
      <w:pStyle w:val="Zhlav"/>
      <w:jc w:val="right"/>
    </w:pPr>
    <w:r w:rsidRPr="00082862">
      <w:rPr>
        <w:noProof/>
        <w:color w:val="7F7F7F" w:themeColor="text1" w:themeTint="80"/>
        <w:lang w:val="cs-CZ" w:eastAsia="cs-CZ"/>
      </w:rPr>
      <w:drawing>
        <wp:anchor distT="0" distB="0" distL="114300" distR="114300" simplePos="0" relativeHeight="251659264" behindDoc="1" locked="0" layoutInCell="1" allowOverlap="1" wp14:anchorId="72BA871A" wp14:editId="78DDE628">
          <wp:simplePos x="0" y="0"/>
          <wp:positionH relativeFrom="column">
            <wp:posOffset>-162560</wp:posOffset>
          </wp:positionH>
          <wp:positionV relativeFrom="paragraph">
            <wp:posOffset>-172720</wp:posOffset>
          </wp:positionV>
          <wp:extent cx="2292350" cy="370840"/>
          <wp:effectExtent l="0" t="0" r="0" b="0"/>
          <wp:wrapTight wrapText="bothSides">
            <wp:wrapPolygon edited="0">
              <wp:start x="0" y="0"/>
              <wp:lineTo x="0" y="19973"/>
              <wp:lineTo x="21361" y="19973"/>
              <wp:lineTo x="2136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rc_jpg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082862">
      <w:rPr>
        <w:rFonts w:ascii="Verdana" w:hAnsi="Verdana"/>
        <w:b/>
        <w:color w:val="7F7F7F" w:themeColor="text1" w:themeTint="80"/>
        <w:sz w:val="18"/>
      </w:rPr>
      <w:t>Oznámení</w:t>
    </w:r>
    <w:proofErr w:type="spellEnd"/>
    <w:r w:rsidRPr="00082862">
      <w:rPr>
        <w:rFonts w:ascii="Verdana" w:hAnsi="Verdana"/>
        <w:b/>
        <w:color w:val="7F7F7F" w:themeColor="text1" w:themeTint="80"/>
        <w:sz w:val="18"/>
      </w:rPr>
      <w:t xml:space="preserve"> </w:t>
    </w:r>
    <w:proofErr w:type="spellStart"/>
    <w:r w:rsidRPr="00082862">
      <w:rPr>
        <w:rFonts w:ascii="Verdana" w:hAnsi="Verdana"/>
        <w:b/>
        <w:color w:val="7F7F7F" w:themeColor="text1" w:themeTint="80"/>
        <w:sz w:val="18"/>
      </w:rPr>
      <w:t>podílu</w:t>
    </w:r>
    <w:proofErr w:type="spellEnd"/>
    <w:r w:rsidRPr="00082862">
      <w:rPr>
        <w:rFonts w:ascii="Verdana" w:hAnsi="Verdana"/>
        <w:b/>
        <w:color w:val="7F7F7F" w:themeColor="text1" w:themeTint="80"/>
        <w:sz w:val="18"/>
      </w:rPr>
      <w:t xml:space="preserve"> </w:t>
    </w:r>
    <w:proofErr w:type="spellStart"/>
    <w:r w:rsidRPr="00082862">
      <w:rPr>
        <w:rFonts w:ascii="Verdana" w:hAnsi="Verdana"/>
        <w:b/>
        <w:color w:val="7F7F7F" w:themeColor="text1" w:themeTint="80"/>
        <w:sz w:val="18"/>
      </w:rPr>
      <w:t>na</w:t>
    </w:r>
    <w:proofErr w:type="spellEnd"/>
    <w:r w:rsidRPr="00082862">
      <w:rPr>
        <w:rFonts w:ascii="Verdana" w:hAnsi="Verdana"/>
        <w:b/>
        <w:color w:val="7F7F7F" w:themeColor="text1" w:themeTint="80"/>
        <w:sz w:val="18"/>
      </w:rPr>
      <w:t xml:space="preserve"> </w:t>
    </w:r>
    <w:proofErr w:type="spellStart"/>
    <w:r w:rsidRPr="00082862">
      <w:rPr>
        <w:rFonts w:ascii="Verdana" w:hAnsi="Verdana"/>
        <w:b/>
        <w:color w:val="7F7F7F" w:themeColor="text1" w:themeTint="80"/>
        <w:sz w:val="18"/>
      </w:rPr>
      <w:t>hlasovacích</w:t>
    </w:r>
    <w:proofErr w:type="spellEnd"/>
    <w:r w:rsidRPr="00082862">
      <w:rPr>
        <w:rFonts w:ascii="Verdana" w:hAnsi="Verdana"/>
        <w:b/>
        <w:color w:val="7F7F7F" w:themeColor="text1" w:themeTint="80"/>
        <w:sz w:val="18"/>
      </w:rPr>
      <w:t xml:space="preserve"> </w:t>
    </w:r>
    <w:proofErr w:type="spellStart"/>
    <w:r w:rsidRPr="00082862">
      <w:rPr>
        <w:rFonts w:ascii="Verdana" w:hAnsi="Verdana"/>
        <w:b/>
        <w:color w:val="7F7F7F" w:themeColor="text1" w:themeTint="80"/>
        <w:sz w:val="18"/>
      </w:rPr>
      <w:t>právech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F2"/>
    <w:rsid w:val="00002F76"/>
    <w:rsid w:val="00011922"/>
    <w:rsid w:val="000169C7"/>
    <w:rsid w:val="0006598D"/>
    <w:rsid w:val="00075ECB"/>
    <w:rsid w:val="00080222"/>
    <w:rsid w:val="0008197B"/>
    <w:rsid w:val="00082862"/>
    <w:rsid w:val="00091623"/>
    <w:rsid w:val="000939A6"/>
    <w:rsid w:val="000B2220"/>
    <w:rsid w:val="000D098F"/>
    <w:rsid w:val="000E1676"/>
    <w:rsid w:val="000E36DF"/>
    <w:rsid w:val="000E51DB"/>
    <w:rsid w:val="000F0AF8"/>
    <w:rsid w:val="000F215C"/>
    <w:rsid w:val="000F6176"/>
    <w:rsid w:val="00101288"/>
    <w:rsid w:val="0011138D"/>
    <w:rsid w:val="00120D1B"/>
    <w:rsid w:val="00125A9B"/>
    <w:rsid w:val="001432C0"/>
    <w:rsid w:val="00157599"/>
    <w:rsid w:val="001578E2"/>
    <w:rsid w:val="00164C1F"/>
    <w:rsid w:val="001706B3"/>
    <w:rsid w:val="001713C9"/>
    <w:rsid w:val="00172E8A"/>
    <w:rsid w:val="00173877"/>
    <w:rsid w:val="00176A47"/>
    <w:rsid w:val="00186FF8"/>
    <w:rsid w:val="0019317A"/>
    <w:rsid w:val="00193E27"/>
    <w:rsid w:val="001A233D"/>
    <w:rsid w:val="001B1529"/>
    <w:rsid w:val="001C46B9"/>
    <w:rsid w:val="001C616C"/>
    <w:rsid w:val="001D3986"/>
    <w:rsid w:val="001E34FC"/>
    <w:rsid w:val="00216D9F"/>
    <w:rsid w:val="00226022"/>
    <w:rsid w:val="00227348"/>
    <w:rsid w:val="00240B9F"/>
    <w:rsid w:val="00260518"/>
    <w:rsid w:val="002607C8"/>
    <w:rsid w:val="0026753D"/>
    <w:rsid w:val="002869D3"/>
    <w:rsid w:val="00291316"/>
    <w:rsid w:val="002A3EA8"/>
    <w:rsid w:val="002B7CE6"/>
    <w:rsid w:val="002C0EB1"/>
    <w:rsid w:val="002C78B9"/>
    <w:rsid w:val="002D5C1D"/>
    <w:rsid w:val="002E2763"/>
    <w:rsid w:val="002E5AC1"/>
    <w:rsid w:val="00316362"/>
    <w:rsid w:val="0033447F"/>
    <w:rsid w:val="00344C99"/>
    <w:rsid w:val="00352D84"/>
    <w:rsid w:val="00357DBF"/>
    <w:rsid w:val="00361E99"/>
    <w:rsid w:val="00370651"/>
    <w:rsid w:val="003730A9"/>
    <w:rsid w:val="00392509"/>
    <w:rsid w:val="00395576"/>
    <w:rsid w:val="00397771"/>
    <w:rsid w:val="003B2E44"/>
    <w:rsid w:val="0041083F"/>
    <w:rsid w:val="00415931"/>
    <w:rsid w:val="0043032A"/>
    <w:rsid w:val="00430CB6"/>
    <w:rsid w:val="0045777F"/>
    <w:rsid w:val="0046691E"/>
    <w:rsid w:val="004869D6"/>
    <w:rsid w:val="00486A5B"/>
    <w:rsid w:val="004A75B9"/>
    <w:rsid w:val="004F2981"/>
    <w:rsid w:val="00502555"/>
    <w:rsid w:val="005107B2"/>
    <w:rsid w:val="00541E7E"/>
    <w:rsid w:val="00562CC7"/>
    <w:rsid w:val="005664CE"/>
    <w:rsid w:val="0057172E"/>
    <w:rsid w:val="0058591E"/>
    <w:rsid w:val="00594492"/>
    <w:rsid w:val="005A265E"/>
    <w:rsid w:val="005B2DF9"/>
    <w:rsid w:val="005B4D9E"/>
    <w:rsid w:val="005E72BA"/>
    <w:rsid w:val="005F37A9"/>
    <w:rsid w:val="00604CA7"/>
    <w:rsid w:val="006128AE"/>
    <w:rsid w:val="00614A18"/>
    <w:rsid w:val="00623C99"/>
    <w:rsid w:val="00662C98"/>
    <w:rsid w:val="0066611A"/>
    <w:rsid w:val="006C04BA"/>
    <w:rsid w:val="006C58ED"/>
    <w:rsid w:val="006E1826"/>
    <w:rsid w:val="006E7D62"/>
    <w:rsid w:val="00714258"/>
    <w:rsid w:val="00717F8B"/>
    <w:rsid w:val="00752C7D"/>
    <w:rsid w:val="00757190"/>
    <w:rsid w:val="00767DCA"/>
    <w:rsid w:val="00786F1B"/>
    <w:rsid w:val="007929C4"/>
    <w:rsid w:val="007A3ABF"/>
    <w:rsid w:val="007A7B9D"/>
    <w:rsid w:val="007B16EB"/>
    <w:rsid w:val="007B78AD"/>
    <w:rsid w:val="007C7B90"/>
    <w:rsid w:val="007C7CEA"/>
    <w:rsid w:val="007D0BDA"/>
    <w:rsid w:val="007D1C4E"/>
    <w:rsid w:val="007D6572"/>
    <w:rsid w:val="00807BA4"/>
    <w:rsid w:val="00807D05"/>
    <w:rsid w:val="00823B9C"/>
    <w:rsid w:val="00830522"/>
    <w:rsid w:val="0084593B"/>
    <w:rsid w:val="00855DF2"/>
    <w:rsid w:val="008911F6"/>
    <w:rsid w:val="00894F45"/>
    <w:rsid w:val="00896224"/>
    <w:rsid w:val="008C2F65"/>
    <w:rsid w:val="008C3E80"/>
    <w:rsid w:val="008C57A1"/>
    <w:rsid w:val="008C6181"/>
    <w:rsid w:val="008D1D20"/>
    <w:rsid w:val="008D314F"/>
    <w:rsid w:val="008E78C0"/>
    <w:rsid w:val="00925E35"/>
    <w:rsid w:val="0092719A"/>
    <w:rsid w:val="009305C8"/>
    <w:rsid w:val="00931A8F"/>
    <w:rsid w:val="009340F2"/>
    <w:rsid w:val="00947206"/>
    <w:rsid w:val="009548EB"/>
    <w:rsid w:val="0097755E"/>
    <w:rsid w:val="00994743"/>
    <w:rsid w:val="009B0149"/>
    <w:rsid w:val="009B0C37"/>
    <w:rsid w:val="009E737C"/>
    <w:rsid w:val="009F7572"/>
    <w:rsid w:val="00A00E46"/>
    <w:rsid w:val="00A01F0E"/>
    <w:rsid w:val="00A113F2"/>
    <w:rsid w:val="00A1313B"/>
    <w:rsid w:val="00A37E54"/>
    <w:rsid w:val="00A42379"/>
    <w:rsid w:val="00A5556D"/>
    <w:rsid w:val="00A946E6"/>
    <w:rsid w:val="00AB69A6"/>
    <w:rsid w:val="00AE21E4"/>
    <w:rsid w:val="00B04E4D"/>
    <w:rsid w:val="00B449C4"/>
    <w:rsid w:val="00B52ABC"/>
    <w:rsid w:val="00B56E62"/>
    <w:rsid w:val="00B57E06"/>
    <w:rsid w:val="00BA2F6F"/>
    <w:rsid w:val="00BB6765"/>
    <w:rsid w:val="00BE2BC0"/>
    <w:rsid w:val="00BF387E"/>
    <w:rsid w:val="00BF491C"/>
    <w:rsid w:val="00C256C8"/>
    <w:rsid w:val="00C6155A"/>
    <w:rsid w:val="00C807CC"/>
    <w:rsid w:val="00C85010"/>
    <w:rsid w:val="00C942DD"/>
    <w:rsid w:val="00CA6413"/>
    <w:rsid w:val="00CB012E"/>
    <w:rsid w:val="00CC451C"/>
    <w:rsid w:val="00CF0832"/>
    <w:rsid w:val="00CF1D0D"/>
    <w:rsid w:val="00D06CAF"/>
    <w:rsid w:val="00D1459D"/>
    <w:rsid w:val="00D153B9"/>
    <w:rsid w:val="00D17778"/>
    <w:rsid w:val="00D24321"/>
    <w:rsid w:val="00D40F55"/>
    <w:rsid w:val="00D44EFB"/>
    <w:rsid w:val="00D45254"/>
    <w:rsid w:val="00D56DA1"/>
    <w:rsid w:val="00D77583"/>
    <w:rsid w:val="00D860EC"/>
    <w:rsid w:val="00D8764C"/>
    <w:rsid w:val="00D937E7"/>
    <w:rsid w:val="00D950D1"/>
    <w:rsid w:val="00DA728D"/>
    <w:rsid w:val="00DA7CD7"/>
    <w:rsid w:val="00DB3DDF"/>
    <w:rsid w:val="00DB4EC2"/>
    <w:rsid w:val="00DE49DD"/>
    <w:rsid w:val="00DE5E6E"/>
    <w:rsid w:val="00E0166A"/>
    <w:rsid w:val="00E021F9"/>
    <w:rsid w:val="00E0650D"/>
    <w:rsid w:val="00E10175"/>
    <w:rsid w:val="00E13135"/>
    <w:rsid w:val="00E212A6"/>
    <w:rsid w:val="00E52E5F"/>
    <w:rsid w:val="00E55E8A"/>
    <w:rsid w:val="00E63187"/>
    <w:rsid w:val="00E83695"/>
    <w:rsid w:val="00E8385F"/>
    <w:rsid w:val="00E91A71"/>
    <w:rsid w:val="00E93345"/>
    <w:rsid w:val="00EC5EFD"/>
    <w:rsid w:val="00F01A0E"/>
    <w:rsid w:val="00F0341D"/>
    <w:rsid w:val="00F221CF"/>
    <w:rsid w:val="00F4559F"/>
    <w:rsid w:val="00F50E23"/>
    <w:rsid w:val="00F61739"/>
    <w:rsid w:val="00F86CC6"/>
    <w:rsid w:val="00F93307"/>
    <w:rsid w:val="00F96659"/>
    <w:rsid w:val="00FB491C"/>
    <w:rsid w:val="00FC7276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40F2"/>
    <w:pPr>
      <w:tabs>
        <w:tab w:val="center" w:pos="4536"/>
        <w:tab w:val="right" w:pos="9072"/>
      </w:tabs>
      <w:spacing w:after="0" w:line="240" w:lineRule="auto"/>
    </w:pPr>
    <w:rPr>
      <w:rFonts w:ascii="Georgia" w:eastAsia="Times New Roman" w:hAnsi="Georgia" w:cs="Times New Roman"/>
      <w:szCs w:val="24"/>
      <w:lang w:val="en-GB" w:eastAsia="de-DE"/>
    </w:rPr>
  </w:style>
  <w:style w:type="character" w:customStyle="1" w:styleId="ZhlavChar">
    <w:name w:val="Záhlaví Char"/>
    <w:basedOn w:val="Standardnpsmoodstavce"/>
    <w:link w:val="Zhlav"/>
    <w:rsid w:val="009340F2"/>
    <w:rPr>
      <w:rFonts w:ascii="Georgia" w:eastAsia="Times New Roman" w:hAnsi="Georgia" w:cs="Times New Roman"/>
      <w:szCs w:val="24"/>
      <w:lang w:val="en-GB" w:eastAsia="de-DE"/>
    </w:rPr>
  </w:style>
  <w:style w:type="paragraph" w:styleId="Zpat">
    <w:name w:val="footer"/>
    <w:basedOn w:val="Normln"/>
    <w:link w:val="ZpatChar"/>
    <w:uiPriority w:val="99"/>
    <w:rsid w:val="009340F2"/>
    <w:pPr>
      <w:tabs>
        <w:tab w:val="center" w:pos="4536"/>
        <w:tab w:val="right" w:pos="9072"/>
      </w:tabs>
      <w:spacing w:after="0" w:line="240" w:lineRule="auto"/>
    </w:pPr>
    <w:rPr>
      <w:rFonts w:ascii="Georgia" w:eastAsia="Times New Roman" w:hAnsi="Georgia" w:cs="Times New Roman"/>
      <w:szCs w:val="24"/>
      <w:lang w:val="en-GB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9340F2"/>
    <w:rPr>
      <w:rFonts w:ascii="Georgia" w:eastAsia="Times New Roman" w:hAnsi="Georgia" w:cs="Times New Roman"/>
      <w:szCs w:val="24"/>
      <w:lang w:val="en-GB" w:eastAsia="de-DE"/>
    </w:rPr>
  </w:style>
  <w:style w:type="paragraph" w:customStyle="1" w:styleId="00Footer">
    <w:name w:val="00_Footer"/>
    <w:basedOn w:val="Normln"/>
    <w:uiPriority w:val="99"/>
    <w:rsid w:val="009340F2"/>
    <w:pPr>
      <w:spacing w:after="0" w:line="200" w:lineRule="exact"/>
    </w:pPr>
    <w:rPr>
      <w:rFonts w:ascii="Georgia" w:eastAsia="Times New Roman" w:hAnsi="Georgia" w:cs="Times New Roman"/>
      <w:color w:val="000000"/>
      <w:sz w:val="16"/>
      <w:szCs w:val="24"/>
      <w:lang w:val="en-GB" w:eastAsia="de-DE"/>
    </w:rPr>
  </w:style>
  <w:style w:type="paragraph" w:customStyle="1" w:styleId="00aPagenumber">
    <w:name w:val="00a_Page number"/>
    <w:basedOn w:val="00Footer"/>
    <w:uiPriority w:val="99"/>
    <w:rsid w:val="009340F2"/>
    <w:pPr>
      <w:spacing w:line="280" w:lineRule="atLeast"/>
      <w:jc w:val="right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B1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5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5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5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52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94F4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4F4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94F4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4F4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4F45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29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29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29C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3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340F2"/>
    <w:pPr>
      <w:tabs>
        <w:tab w:val="center" w:pos="4536"/>
        <w:tab w:val="right" w:pos="9072"/>
      </w:tabs>
      <w:spacing w:after="0" w:line="240" w:lineRule="auto"/>
    </w:pPr>
    <w:rPr>
      <w:rFonts w:ascii="Georgia" w:eastAsia="Times New Roman" w:hAnsi="Georgia" w:cs="Times New Roman"/>
      <w:szCs w:val="24"/>
      <w:lang w:val="en-GB" w:eastAsia="de-DE"/>
    </w:rPr>
  </w:style>
  <w:style w:type="character" w:customStyle="1" w:styleId="ZhlavChar">
    <w:name w:val="Záhlaví Char"/>
    <w:basedOn w:val="Standardnpsmoodstavce"/>
    <w:link w:val="Zhlav"/>
    <w:rsid w:val="009340F2"/>
    <w:rPr>
      <w:rFonts w:ascii="Georgia" w:eastAsia="Times New Roman" w:hAnsi="Georgia" w:cs="Times New Roman"/>
      <w:szCs w:val="24"/>
      <w:lang w:val="en-GB" w:eastAsia="de-DE"/>
    </w:rPr>
  </w:style>
  <w:style w:type="paragraph" w:styleId="Zpat">
    <w:name w:val="footer"/>
    <w:basedOn w:val="Normln"/>
    <w:link w:val="ZpatChar"/>
    <w:uiPriority w:val="99"/>
    <w:rsid w:val="009340F2"/>
    <w:pPr>
      <w:tabs>
        <w:tab w:val="center" w:pos="4536"/>
        <w:tab w:val="right" w:pos="9072"/>
      </w:tabs>
      <w:spacing w:after="0" w:line="240" w:lineRule="auto"/>
    </w:pPr>
    <w:rPr>
      <w:rFonts w:ascii="Georgia" w:eastAsia="Times New Roman" w:hAnsi="Georgia" w:cs="Times New Roman"/>
      <w:szCs w:val="24"/>
      <w:lang w:val="en-GB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9340F2"/>
    <w:rPr>
      <w:rFonts w:ascii="Georgia" w:eastAsia="Times New Roman" w:hAnsi="Georgia" w:cs="Times New Roman"/>
      <w:szCs w:val="24"/>
      <w:lang w:val="en-GB" w:eastAsia="de-DE"/>
    </w:rPr>
  </w:style>
  <w:style w:type="paragraph" w:customStyle="1" w:styleId="00Footer">
    <w:name w:val="00_Footer"/>
    <w:basedOn w:val="Normln"/>
    <w:uiPriority w:val="99"/>
    <w:rsid w:val="009340F2"/>
    <w:pPr>
      <w:spacing w:after="0" w:line="200" w:lineRule="exact"/>
    </w:pPr>
    <w:rPr>
      <w:rFonts w:ascii="Georgia" w:eastAsia="Times New Roman" w:hAnsi="Georgia" w:cs="Times New Roman"/>
      <w:color w:val="000000"/>
      <w:sz w:val="16"/>
      <w:szCs w:val="24"/>
      <w:lang w:val="en-GB" w:eastAsia="de-DE"/>
    </w:rPr>
  </w:style>
  <w:style w:type="paragraph" w:customStyle="1" w:styleId="00aPagenumber">
    <w:name w:val="00a_Page number"/>
    <w:basedOn w:val="00Footer"/>
    <w:uiPriority w:val="99"/>
    <w:rsid w:val="009340F2"/>
    <w:pPr>
      <w:spacing w:line="280" w:lineRule="atLeast"/>
      <w:jc w:val="right"/>
    </w:pPr>
    <w:rPr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B15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15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15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5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52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94F4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4F4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94F4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4F4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4F45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29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29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29C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03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ibor.mocek@cn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mas.himl@cn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nb.cz/cs/dohled-financni-trh/vykon-dohledu/informacni-povinnosti/informacni-povinnost-emitentu-cennych-papiru-a-dalsich-osob-vuci-ceske-narodni-bance/" TargetMode="External"/><Relationship Id="rId2" Type="http://schemas.openxmlformats.org/officeDocument/2006/relationships/hyperlink" Target="https://www.cnb.cz/cs/dohled-financni-trh/informace-zverejnovane-emitenty/" TargetMode="External"/><Relationship Id="rId1" Type="http://schemas.openxmlformats.org/officeDocument/2006/relationships/hyperlink" Target="https://www.esma.europa.eu/databases-library/esma-library?f%5B0%5D=im_esma_sections%3A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2FC4-DDCD-4929-8015-FD244DDB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1342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Mocek Libor</dc:creator>
  <cp:lastModifiedBy>Pavlíček Aleš</cp:lastModifiedBy>
  <cp:revision>3</cp:revision>
  <cp:lastPrinted>2016-05-27T12:31:00Z</cp:lastPrinted>
  <dcterms:created xsi:type="dcterms:W3CDTF">2016-05-31T13:24:00Z</dcterms:created>
  <dcterms:modified xsi:type="dcterms:W3CDTF">2019-05-16T13:31:00Z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-643307395</vt:i4>
  </property>
  <property fmtid="{D5CDD505-2E9C-101B-9397-08002B2CF9AE}" pid="3" name="_NewReviewCycle">
    <vt:lpwstr/>
  </property>
  <property fmtid="{D5CDD505-2E9C-101B-9397-08002B2CF9AE}" pid="4" name="_EmailSubject">
    <vt:lpwstr>Aktualizace dokumentů</vt:lpwstr>
  </property>
  <property fmtid="{D5CDD505-2E9C-101B-9397-08002B2CF9AE}" pid="5" name="_AuthorEmail">
    <vt:lpwstr>Tomas.Zeman@cnb.cz</vt:lpwstr>
  </property>
  <property fmtid="{D5CDD505-2E9C-101B-9397-08002B2CF9AE}" pid="6" name="_AuthorEmailDisplayName">
    <vt:lpwstr>Zeman Tomáš</vt:lpwstr>
  </property>
  <property fmtid="{D5CDD505-2E9C-101B-9397-08002B2CF9AE}" pid="7" name="_PreviousAdHocReviewCycleID">
    <vt:i4>-1103820730</vt:i4>
  </property>
</Properties>
</file>